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742" w:type="dxa"/>
        <w:tblInd w:w="108" w:type="dxa"/>
        <w:tblLook w:val="01E0" w:firstRow="1" w:lastRow="1" w:firstColumn="1" w:lastColumn="1" w:noHBand="0" w:noVBand="0"/>
      </w:tblPr>
      <w:tblGrid>
        <w:gridCol w:w="6521"/>
        <w:gridCol w:w="283"/>
        <w:gridCol w:w="7938"/>
      </w:tblGrid>
      <w:tr w:rsidR="00BF5356" w:rsidRPr="00C4413B" w14:paraId="69D241F1" w14:textId="77777777" w:rsidTr="003171CB">
        <w:trPr>
          <w:trHeight w:val="851"/>
        </w:trPr>
        <w:tc>
          <w:tcPr>
            <w:tcW w:w="6521" w:type="dxa"/>
          </w:tcPr>
          <w:p w14:paraId="353A4554" w14:textId="52759939" w:rsidR="00BF5356" w:rsidRPr="00C4413B" w:rsidRDefault="00BF5356" w:rsidP="003171CB">
            <w:pPr>
              <w:jc w:val="center"/>
              <w:rPr>
                <w:rFonts w:ascii="Times New Roman Bold" w:hAnsi="Times New Roman Bold"/>
                <w:b/>
                <w:sz w:val="28"/>
                <w:szCs w:val="28"/>
              </w:rPr>
            </w:pPr>
            <w:r w:rsidRPr="00C4413B">
              <w:rPr>
                <w:b/>
                <w:noProof/>
                <w:sz w:val="28"/>
                <w:szCs w:val="28"/>
              </w:rPr>
              <mc:AlternateContent>
                <mc:Choice Requires="wps">
                  <w:drawing>
                    <wp:anchor distT="4294967295" distB="4294967295" distL="114300" distR="114300" simplePos="0" relativeHeight="251661312" behindDoc="0" locked="0" layoutInCell="1" allowOverlap="1" wp14:anchorId="4238A181" wp14:editId="11989B5F">
                      <wp:simplePos x="0" y="0"/>
                      <wp:positionH relativeFrom="column">
                        <wp:posOffset>1136051</wp:posOffset>
                      </wp:positionH>
                      <wp:positionV relativeFrom="paragraph">
                        <wp:posOffset>295359</wp:posOffset>
                      </wp:positionV>
                      <wp:extent cx="1495425" cy="0"/>
                      <wp:effectExtent l="0" t="0" r="9525" b="19050"/>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5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1A0107" id="_x0000_t32" coordsize="21600,21600" o:spt="32" o:oned="t" path="m,l21600,21600e" filled="f">
                      <v:path arrowok="t" fillok="f" o:connecttype="none"/>
                      <o:lock v:ext="edit" shapetype="t"/>
                    </v:shapetype>
                    <v:shape id="Straight Arrow Connector 58" o:spid="_x0000_s1026" type="#_x0000_t32" style="position:absolute;margin-left:89.45pt;margin-top:23.25pt;width:117.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"/>
                  </w:pict>
                </mc:Fallback>
              </mc:AlternateContent>
            </w:r>
            <w:r w:rsidR="00CF11E4">
              <w:rPr>
                <w:rFonts w:ascii="Times New Roman Bold" w:hAnsi="Times New Roman Bold"/>
                <w:b/>
                <w:sz w:val="28"/>
                <w:szCs w:val="28"/>
              </w:rPr>
              <w:t>NGÂN HÀNG NHÀ NƯỚC VIỆT NAM</w:t>
            </w:r>
            <w:r w:rsidRPr="00C4413B">
              <w:rPr>
                <w:rFonts w:ascii="Times New Roman Bold" w:hAnsi="Times New Roman Bold"/>
                <w:b/>
                <w:sz w:val="28"/>
                <w:szCs w:val="28"/>
              </w:rPr>
              <w:br/>
            </w:r>
          </w:p>
        </w:tc>
        <w:tc>
          <w:tcPr>
            <w:tcW w:w="283" w:type="dxa"/>
          </w:tcPr>
          <w:p w14:paraId="178281F5" w14:textId="77777777" w:rsidR="00BF5356" w:rsidRPr="00C4413B" w:rsidRDefault="00BF5356" w:rsidP="003171CB">
            <w:pPr>
              <w:jc w:val="both"/>
              <w:rPr>
                <w:sz w:val="28"/>
                <w:szCs w:val="28"/>
              </w:rPr>
            </w:pPr>
          </w:p>
        </w:tc>
        <w:tc>
          <w:tcPr>
            <w:tcW w:w="7938" w:type="dxa"/>
          </w:tcPr>
          <w:p w14:paraId="04C050B3" w14:textId="77777777" w:rsidR="00BF5356" w:rsidRPr="00C4413B" w:rsidRDefault="00BF5356" w:rsidP="003171CB">
            <w:pPr>
              <w:jc w:val="center"/>
              <w:rPr>
                <w:rFonts w:ascii="Times New Roman Bold" w:hAnsi="Times New Roman Bold"/>
                <w:b/>
                <w:sz w:val="28"/>
                <w:szCs w:val="28"/>
              </w:rPr>
            </w:pPr>
            <w:r w:rsidRPr="00C4413B">
              <w:rPr>
                <w:rFonts w:ascii="Times New Roman Bold" w:hAnsi="Times New Roman Bold"/>
                <w:b/>
                <w:sz w:val="28"/>
                <w:szCs w:val="28"/>
              </w:rPr>
              <w:t>CỘNG HÒA XÃ HỘI CHỦ NGHĨA VIỆT NAM</w:t>
            </w:r>
          </w:p>
          <w:p w14:paraId="60E49B72" w14:textId="77777777" w:rsidR="00BF5356" w:rsidRPr="00C4413B" w:rsidRDefault="00BF5356" w:rsidP="003171CB">
            <w:pPr>
              <w:jc w:val="center"/>
              <w:rPr>
                <w:b/>
                <w:sz w:val="28"/>
                <w:szCs w:val="28"/>
              </w:rPr>
            </w:pPr>
            <w:r w:rsidRPr="00C4413B">
              <w:rPr>
                <w:b/>
                <w:sz w:val="28"/>
                <w:szCs w:val="28"/>
              </w:rPr>
              <w:t>Độc lập - Tự do - Hạnh phúc</w:t>
            </w:r>
          </w:p>
          <w:p w14:paraId="070E210C" w14:textId="08F238FF" w:rsidR="00BF5356" w:rsidRPr="00C4413B" w:rsidRDefault="00BF5356" w:rsidP="003171CB">
            <w:pPr>
              <w:rPr>
                <w:i/>
                <w:spacing w:val="-10"/>
                <w:sz w:val="28"/>
                <w:szCs w:val="28"/>
              </w:rPr>
            </w:pPr>
            <w:r w:rsidRPr="00C4413B">
              <w:rPr>
                <w:b/>
                <w:i/>
                <w:noProof/>
                <w:sz w:val="28"/>
                <w:szCs w:val="28"/>
              </w:rPr>
              <mc:AlternateContent>
                <mc:Choice Requires="wps">
                  <w:drawing>
                    <wp:anchor distT="0" distB="0" distL="114300" distR="114300" simplePos="0" relativeHeight="251662336" behindDoc="0" locked="0" layoutInCell="1" allowOverlap="1" wp14:anchorId="268D4642" wp14:editId="6222DFE4">
                      <wp:simplePos x="0" y="0"/>
                      <wp:positionH relativeFrom="column">
                        <wp:posOffset>1392555</wp:posOffset>
                      </wp:positionH>
                      <wp:positionV relativeFrom="paragraph">
                        <wp:posOffset>24765</wp:posOffset>
                      </wp:positionV>
                      <wp:extent cx="2125980" cy="3810"/>
                      <wp:effectExtent l="0" t="0" r="26670" b="34290"/>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5980" cy="3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927A86" id="Straight Arrow Connector 59" o:spid="_x0000_s1026" type="#_x0000_t32" style="position:absolute;margin-left:109.65pt;margin-top:1.95pt;width:167.4pt;height:.3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"/>
                  </w:pict>
                </mc:Fallback>
              </mc:AlternateContent>
            </w:r>
          </w:p>
          <w:p w14:paraId="3D2C5C00" w14:textId="5687EE25" w:rsidR="00BF5356" w:rsidRPr="00C4413B" w:rsidRDefault="004815D5" w:rsidP="00192851">
            <w:pPr>
              <w:jc w:val="center"/>
              <w:rPr>
                <w:i/>
                <w:sz w:val="28"/>
                <w:szCs w:val="28"/>
              </w:rPr>
            </w:pPr>
            <w:r w:rsidRPr="00C4413B">
              <w:rPr>
                <w:i/>
                <w:sz w:val="28"/>
                <w:szCs w:val="28"/>
              </w:rPr>
              <w:t xml:space="preserve">Hà Nội, ngày </w:t>
            </w:r>
            <w:r w:rsidR="00F943F5">
              <w:rPr>
                <w:i/>
                <w:sz w:val="28"/>
                <w:szCs w:val="28"/>
              </w:rPr>
              <w:t xml:space="preserve">     </w:t>
            </w:r>
            <w:r w:rsidRPr="00C4413B">
              <w:rPr>
                <w:i/>
                <w:sz w:val="28"/>
                <w:szCs w:val="28"/>
              </w:rPr>
              <w:t xml:space="preserve"> </w:t>
            </w:r>
            <w:r w:rsidR="00BF5356" w:rsidRPr="00C4413B">
              <w:rPr>
                <w:i/>
                <w:sz w:val="28"/>
                <w:szCs w:val="28"/>
              </w:rPr>
              <w:t xml:space="preserve">tháng </w:t>
            </w:r>
            <w:r w:rsidR="00F943F5">
              <w:rPr>
                <w:i/>
                <w:sz w:val="28"/>
                <w:szCs w:val="28"/>
              </w:rPr>
              <w:t xml:space="preserve"> </w:t>
            </w:r>
            <w:r w:rsidR="00192851">
              <w:rPr>
                <w:i/>
                <w:sz w:val="28"/>
                <w:szCs w:val="28"/>
              </w:rPr>
              <w:t>3</w:t>
            </w:r>
            <w:r w:rsidR="00F943F5">
              <w:rPr>
                <w:i/>
                <w:sz w:val="28"/>
                <w:szCs w:val="28"/>
              </w:rPr>
              <w:t xml:space="preserve">  </w:t>
            </w:r>
            <w:r w:rsidR="00BF5356" w:rsidRPr="00C4413B">
              <w:rPr>
                <w:i/>
                <w:sz w:val="28"/>
                <w:szCs w:val="28"/>
              </w:rPr>
              <w:t xml:space="preserve"> năm 202</w:t>
            </w:r>
            <w:r w:rsidR="00D228B0" w:rsidRPr="00C4413B">
              <w:rPr>
                <w:i/>
                <w:sz w:val="28"/>
                <w:szCs w:val="28"/>
              </w:rPr>
              <w:t>6</w:t>
            </w:r>
          </w:p>
        </w:tc>
      </w:tr>
    </w:tbl>
    <w:p w14:paraId="2C426AAD" w14:textId="77777777" w:rsidR="00BF5356" w:rsidRPr="00C4413B" w:rsidRDefault="00BF5356" w:rsidP="009F3534">
      <w:pPr>
        <w:jc w:val="center"/>
        <w:rPr>
          <w:b/>
          <w:sz w:val="28"/>
          <w:szCs w:val="28"/>
        </w:rPr>
      </w:pPr>
    </w:p>
    <w:p w14:paraId="33B33E06" w14:textId="77777777" w:rsidR="00C43C94" w:rsidRPr="00C4413B" w:rsidRDefault="00C43C94" w:rsidP="00D228B0">
      <w:pPr>
        <w:jc w:val="center"/>
        <w:rPr>
          <w:b/>
          <w:sz w:val="18"/>
        </w:rPr>
      </w:pPr>
    </w:p>
    <w:p w14:paraId="66838C01" w14:textId="77777777" w:rsidR="00CB0B29" w:rsidRPr="006C4417" w:rsidRDefault="001F0E95" w:rsidP="00D228B0">
      <w:pPr>
        <w:jc w:val="center"/>
        <w:rPr>
          <w:b/>
          <w:sz w:val="26"/>
          <w:szCs w:val="26"/>
        </w:rPr>
      </w:pPr>
      <w:r w:rsidRPr="006C4417">
        <w:rPr>
          <w:b/>
          <w:sz w:val="26"/>
          <w:szCs w:val="26"/>
        </w:rPr>
        <w:t xml:space="preserve">BẢN </w:t>
      </w:r>
      <w:r w:rsidR="004A43FF" w:rsidRPr="006C4417">
        <w:rPr>
          <w:b/>
          <w:sz w:val="26"/>
          <w:szCs w:val="26"/>
        </w:rPr>
        <w:t xml:space="preserve">TỔNG HỢP Ý KIẾN, TIẾP THU, GIẢI TRÌNH Ý KIẾN GÓP Ý, PHẢN BIỆN XÃ HỘI </w:t>
      </w:r>
      <w:r w:rsidR="004A43FF" w:rsidRPr="006C4417">
        <w:rPr>
          <w:b/>
          <w:sz w:val="26"/>
          <w:szCs w:val="26"/>
        </w:rPr>
        <w:br/>
        <w:t>ĐỐI VỚI</w:t>
      </w:r>
      <w:r w:rsidRPr="006C4417">
        <w:rPr>
          <w:b/>
          <w:sz w:val="26"/>
          <w:szCs w:val="26"/>
        </w:rPr>
        <w:t xml:space="preserve"> </w:t>
      </w:r>
      <w:r w:rsidR="00D228B0" w:rsidRPr="006C4417">
        <w:rPr>
          <w:b/>
          <w:sz w:val="26"/>
          <w:szCs w:val="26"/>
        </w:rPr>
        <w:t xml:space="preserve">DỰ THẢO NGHỊ ĐỊNH </w:t>
      </w:r>
      <w:r w:rsidR="00F943F5" w:rsidRPr="006C4417">
        <w:rPr>
          <w:b/>
          <w:sz w:val="26"/>
          <w:szCs w:val="26"/>
        </w:rPr>
        <w:t xml:space="preserve">QUY ĐỊNH CHI TIẾT MỘT SỐ ĐIỀU CỦA LUẬT PHỤC HỒI, PHÁ SẢN VỀ </w:t>
      </w:r>
    </w:p>
    <w:p w14:paraId="3BA156E7" w14:textId="6EF7B2AA" w:rsidR="001825AB" w:rsidRDefault="006E2965" w:rsidP="006E2965">
      <w:pPr>
        <w:jc w:val="center"/>
        <w:rPr>
          <w:b/>
          <w:sz w:val="26"/>
          <w:szCs w:val="26"/>
        </w:rPr>
      </w:pPr>
      <w:r w:rsidRPr="006C4417">
        <w:rPr>
          <w:b/>
          <w:sz w:val="26"/>
          <w:szCs w:val="26"/>
        </w:rPr>
        <w:t xml:space="preserve">KHÔNG TẠM DỪNG VIỆC </w:t>
      </w:r>
      <w:r w:rsidR="00F943F5" w:rsidRPr="006C4417">
        <w:rPr>
          <w:b/>
          <w:sz w:val="26"/>
          <w:szCs w:val="26"/>
        </w:rPr>
        <w:t>XỬ LÝ TÀI SẢN BẢO ĐẢM CỦA DOANH NGHIỆP, HỢP TÁC XÃ</w:t>
      </w:r>
      <w:r w:rsidRPr="006C4417">
        <w:rPr>
          <w:b/>
          <w:sz w:val="26"/>
          <w:szCs w:val="26"/>
        </w:rPr>
        <w:t xml:space="preserve"> ĐỐI VỚI CHỦ NỢ CÓ TÀI SẢN BẢO ĐẢM</w:t>
      </w:r>
      <w:r w:rsidR="00F943F5" w:rsidRPr="006C4417">
        <w:rPr>
          <w:b/>
          <w:sz w:val="26"/>
          <w:szCs w:val="26"/>
        </w:rPr>
        <w:t>, THANH TOÁN</w:t>
      </w:r>
      <w:r w:rsidR="00E53B8B">
        <w:rPr>
          <w:b/>
          <w:sz w:val="26"/>
          <w:szCs w:val="26"/>
        </w:rPr>
        <w:t xml:space="preserve"> HOẶC</w:t>
      </w:r>
      <w:r w:rsidR="00F943F5" w:rsidRPr="006C4417">
        <w:rPr>
          <w:b/>
          <w:sz w:val="26"/>
          <w:szCs w:val="26"/>
        </w:rPr>
        <w:t xml:space="preserve"> BÙ TRỪ </w:t>
      </w:r>
      <w:r w:rsidRPr="006C4417">
        <w:rPr>
          <w:b/>
          <w:sz w:val="26"/>
          <w:szCs w:val="26"/>
        </w:rPr>
        <w:t>KHÔNG BỊ COI LÀ VÔ HIỆU</w:t>
      </w:r>
      <w:r w:rsidR="00F943F5" w:rsidRPr="006C4417">
        <w:rPr>
          <w:b/>
          <w:sz w:val="26"/>
          <w:szCs w:val="26"/>
        </w:rPr>
        <w:t>,</w:t>
      </w:r>
      <w:r w:rsidRPr="006C4417">
        <w:rPr>
          <w:b/>
          <w:sz w:val="26"/>
          <w:szCs w:val="26"/>
        </w:rPr>
        <w:t xml:space="preserve"> KHÔNG</w:t>
      </w:r>
      <w:r w:rsidR="00F943F5" w:rsidRPr="006C4417">
        <w:rPr>
          <w:b/>
          <w:sz w:val="26"/>
          <w:szCs w:val="26"/>
        </w:rPr>
        <w:t xml:space="preserve"> TẠM ĐÌNH </w:t>
      </w:r>
      <w:r w:rsidR="00CF11E4" w:rsidRPr="006C4417">
        <w:rPr>
          <w:b/>
          <w:sz w:val="26"/>
          <w:szCs w:val="26"/>
        </w:rPr>
        <w:t>C</w:t>
      </w:r>
      <w:r w:rsidR="00F943F5" w:rsidRPr="006C4417">
        <w:rPr>
          <w:b/>
          <w:sz w:val="26"/>
          <w:szCs w:val="26"/>
        </w:rPr>
        <w:t xml:space="preserve">HỈ, ĐÌNH CHỈ THỰC HIỆN HỢP ĐỒNG ĐANG CÓ HIỆU LỰC, </w:t>
      </w:r>
      <w:r w:rsidRPr="006C4417">
        <w:rPr>
          <w:b/>
          <w:sz w:val="26"/>
          <w:szCs w:val="26"/>
        </w:rPr>
        <w:t>KHÔNG PHẢI BÁO CÁO</w:t>
      </w:r>
      <w:r w:rsidR="001825AB">
        <w:rPr>
          <w:b/>
          <w:sz w:val="26"/>
          <w:szCs w:val="26"/>
        </w:rPr>
        <w:t xml:space="preserve"> THẨM PHÁN</w:t>
      </w:r>
    </w:p>
    <w:p w14:paraId="7F27EE0E" w14:textId="378FAEA4" w:rsidR="006E2965" w:rsidRPr="006C4417" w:rsidRDefault="001825AB" w:rsidP="006E2965">
      <w:pPr>
        <w:jc w:val="center"/>
        <w:rPr>
          <w:b/>
          <w:sz w:val="26"/>
          <w:szCs w:val="26"/>
        </w:rPr>
      </w:pPr>
      <w:r>
        <w:rPr>
          <w:b/>
          <w:sz w:val="26"/>
          <w:szCs w:val="26"/>
        </w:rPr>
        <w:t xml:space="preserve"> </w:t>
      </w:r>
      <w:r w:rsidR="006E2965" w:rsidRPr="006C4417">
        <w:rPr>
          <w:b/>
          <w:sz w:val="26"/>
          <w:szCs w:val="26"/>
        </w:rPr>
        <w:t>TRƯỚC KHI THỰC HIỆN</w:t>
      </w:r>
      <w:r w:rsidR="006C4417" w:rsidRPr="006C4417">
        <w:rPr>
          <w:b/>
          <w:sz w:val="26"/>
          <w:szCs w:val="26"/>
        </w:rPr>
        <w:t xml:space="preserve"> </w:t>
      </w:r>
      <w:r w:rsidR="006E2965" w:rsidRPr="006C4417">
        <w:rPr>
          <w:b/>
          <w:sz w:val="26"/>
          <w:szCs w:val="26"/>
        </w:rPr>
        <w:t>BÙ TRỪ NGHĨA VỤ</w:t>
      </w:r>
    </w:p>
    <w:p w14:paraId="5AA39F05" w14:textId="6FA52CDB" w:rsidR="004A43FF" w:rsidRPr="00C4413B" w:rsidRDefault="00C43C94" w:rsidP="004A43FF">
      <w:pPr>
        <w:jc w:val="both"/>
        <w:rPr>
          <w:szCs w:val="28"/>
        </w:rPr>
      </w:pPr>
      <w:r w:rsidRPr="00C4413B">
        <w:rPr>
          <w:b/>
          <w:noProof/>
        </w:rPr>
        <mc:AlternateContent>
          <mc:Choice Requires="wps">
            <w:drawing>
              <wp:anchor distT="0" distB="0" distL="114300" distR="114300" simplePos="0" relativeHeight="251659264" behindDoc="0" locked="0" layoutInCell="1" allowOverlap="1" wp14:anchorId="71DC3545" wp14:editId="2EB6BE67">
                <wp:simplePos x="0" y="0"/>
                <wp:positionH relativeFrom="column">
                  <wp:posOffset>3599815</wp:posOffset>
                </wp:positionH>
                <wp:positionV relativeFrom="paragraph">
                  <wp:posOffset>31750</wp:posOffset>
                </wp:positionV>
                <wp:extent cx="1868170" cy="0"/>
                <wp:effectExtent l="0" t="0" r="17780" b="19050"/>
                <wp:wrapNone/>
                <wp:docPr id="30" name="Straight Connector 30"/>
                <wp:cNvGraphicFramePr/>
                <a:graphic xmlns:a="http://schemas.openxmlformats.org/drawingml/2006/main">
                  <a:graphicData uri="http://schemas.microsoft.com/office/word/2010/wordprocessingShape">
                    <wps:wsp>
                      <wps:cNvCnPr/>
                      <wps:spPr>
                        <a:xfrm>
                          <a:off x="0" y="0"/>
                          <a:ext cx="1868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0B2E245" id="Straight Connector 30"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3.45pt,2.5pt" to="430.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" strokecolor="black [3040]"/>
            </w:pict>
          </mc:Fallback>
        </mc:AlternateContent>
      </w:r>
    </w:p>
    <w:p w14:paraId="4175FF85" w14:textId="3AFDA063" w:rsidR="001F0E95" w:rsidRPr="00C4413B" w:rsidRDefault="004A43FF" w:rsidP="004A43FF">
      <w:pPr>
        <w:spacing w:after="120"/>
        <w:ind w:firstLine="567"/>
        <w:jc w:val="both"/>
        <w:rPr>
          <w:sz w:val="28"/>
          <w:szCs w:val="28"/>
        </w:rPr>
      </w:pPr>
      <w:r w:rsidRPr="00C4413B">
        <w:rPr>
          <w:sz w:val="28"/>
          <w:szCs w:val="28"/>
        </w:rPr>
        <w:t xml:space="preserve">Căn cứ Luật Ban hành văn bản quy phạm pháp luật, cơ quan chủ trì soạn thảo đã tổ chức lấy ý kiến, phản biện xã hội đối với hồ sơ </w:t>
      </w:r>
      <w:r w:rsidR="00D228B0" w:rsidRPr="00C4413B">
        <w:rPr>
          <w:sz w:val="28"/>
          <w:szCs w:val="28"/>
        </w:rPr>
        <w:t xml:space="preserve">dự thảo Nghị định </w:t>
      </w:r>
      <w:r w:rsidR="007E03EF">
        <w:rPr>
          <w:sz w:val="28"/>
          <w:szCs w:val="28"/>
        </w:rPr>
        <w:t>q</w:t>
      </w:r>
      <w:r w:rsidR="00BF55DA" w:rsidRPr="00BF55DA">
        <w:rPr>
          <w:sz w:val="28"/>
          <w:szCs w:val="28"/>
        </w:rPr>
        <w:t>uy định chi tiết một số điều của Luật Phục hồi, phá sản về</w:t>
      </w:r>
      <w:r w:rsidR="00250DB9" w:rsidRPr="00250DB9">
        <w:rPr>
          <w:sz w:val="28"/>
          <w:szCs w:val="28"/>
        </w:rPr>
        <w:t xml:space="preserve"> </w:t>
      </w:r>
      <w:r w:rsidR="00250DB9" w:rsidRPr="00250DB9">
        <w:rPr>
          <w:sz w:val="28"/>
          <w:szCs w:val="28"/>
        </w:rPr>
        <w:t>không tạm dừng việc xử lý tài sản bảo đảm của doanh nghiệp, hợp tác xã đối với chủ nợ có tài sản bảo đảm, thanh toán hoặc bù trừ không bị coi là vô hiệu, không tạm đình chỉ, đình chỉ thực hiện hợp đồng đang có hiệu lực, không phải báo cáo Thẩm phán trước khi thực hiện bù trừ nghĩa vụ</w:t>
      </w:r>
      <w:r w:rsidR="00BF55DA" w:rsidRPr="00BF55DA">
        <w:rPr>
          <w:sz w:val="28"/>
          <w:szCs w:val="28"/>
        </w:rPr>
        <w:t xml:space="preserve"> </w:t>
      </w:r>
      <w:r w:rsidR="00D228B0" w:rsidRPr="00C4413B">
        <w:rPr>
          <w:color w:val="000000"/>
          <w:sz w:val="28"/>
          <w:szCs w:val="28"/>
          <w:lang w:val="en-GB"/>
        </w:rPr>
        <w:t>(</w:t>
      </w:r>
      <w:r w:rsidR="00D228B0" w:rsidRPr="00C4413B">
        <w:rPr>
          <w:i/>
          <w:color w:val="000000"/>
          <w:sz w:val="28"/>
          <w:szCs w:val="28"/>
          <w:lang w:val="en-GB"/>
        </w:rPr>
        <w:t>sau đây gọi tắt là “dự thảo Nghị định”</w:t>
      </w:r>
      <w:r w:rsidR="00D228B0" w:rsidRPr="00C4413B">
        <w:rPr>
          <w:color w:val="000000"/>
          <w:sz w:val="28"/>
          <w:szCs w:val="28"/>
          <w:lang w:val="en-GB"/>
        </w:rPr>
        <w:t>)</w:t>
      </w:r>
      <w:r w:rsidRPr="00C4413B">
        <w:rPr>
          <w:sz w:val="28"/>
          <w:szCs w:val="28"/>
        </w:rPr>
        <w:t>.</w:t>
      </w:r>
      <w:bookmarkStart w:id="0" w:name="_GoBack"/>
      <w:bookmarkEnd w:id="0"/>
    </w:p>
    <w:p w14:paraId="56EA49BC" w14:textId="3E92B9EB" w:rsidR="00FA56F6" w:rsidRPr="00C4413B" w:rsidRDefault="004A43FF" w:rsidP="004A43FF">
      <w:pPr>
        <w:spacing w:after="120"/>
        <w:ind w:firstLine="567"/>
        <w:jc w:val="both"/>
        <w:rPr>
          <w:b/>
          <w:sz w:val="28"/>
          <w:szCs w:val="28"/>
        </w:rPr>
      </w:pPr>
      <w:r w:rsidRPr="00C4413B">
        <w:rPr>
          <w:b/>
          <w:sz w:val="28"/>
          <w:szCs w:val="28"/>
        </w:rPr>
        <w:t xml:space="preserve">1. </w:t>
      </w:r>
      <w:r w:rsidR="00FA56F6" w:rsidRPr="00C4413B">
        <w:rPr>
          <w:b/>
          <w:sz w:val="28"/>
          <w:szCs w:val="28"/>
        </w:rPr>
        <w:t>Kết quả lấy ý kiến:</w:t>
      </w:r>
    </w:p>
    <w:p w14:paraId="41888548" w14:textId="314266B5" w:rsidR="00100483" w:rsidRDefault="00FA56F6" w:rsidP="004A43FF">
      <w:pPr>
        <w:spacing w:after="120"/>
        <w:ind w:firstLine="567"/>
        <w:jc w:val="both"/>
        <w:rPr>
          <w:sz w:val="28"/>
          <w:szCs w:val="28"/>
        </w:rPr>
      </w:pPr>
      <w:r w:rsidRPr="00030090">
        <w:rPr>
          <w:sz w:val="28"/>
          <w:szCs w:val="28"/>
        </w:rPr>
        <w:t>T</w:t>
      </w:r>
      <w:r w:rsidR="004A43FF" w:rsidRPr="00030090">
        <w:rPr>
          <w:sz w:val="28"/>
          <w:szCs w:val="28"/>
        </w:rPr>
        <w:t xml:space="preserve">ổng số ý kiến </w:t>
      </w:r>
      <w:r w:rsidR="00D228B0" w:rsidRPr="00030090">
        <w:rPr>
          <w:sz w:val="28"/>
          <w:szCs w:val="28"/>
        </w:rPr>
        <w:t xml:space="preserve">góp ý </w:t>
      </w:r>
      <w:r w:rsidR="004A43FF" w:rsidRPr="00030090">
        <w:rPr>
          <w:sz w:val="28"/>
          <w:szCs w:val="28"/>
        </w:rPr>
        <w:t>nhận đượ</w:t>
      </w:r>
      <w:r w:rsidRPr="00030090">
        <w:rPr>
          <w:sz w:val="28"/>
          <w:szCs w:val="28"/>
        </w:rPr>
        <w:t xml:space="preserve">c: </w:t>
      </w:r>
      <w:r w:rsidR="002B778B" w:rsidRPr="00030090">
        <w:rPr>
          <w:b/>
          <w:sz w:val="28"/>
          <w:szCs w:val="28"/>
        </w:rPr>
        <w:t>0</w:t>
      </w:r>
      <w:r w:rsidR="005956B3">
        <w:rPr>
          <w:b/>
          <w:sz w:val="28"/>
          <w:szCs w:val="28"/>
        </w:rPr>
        <w:t>7</w:t>
      </w:r>
      <w:r w:rsidR="002B778B" w:rsidRPr="00030090">
        <w:rPr>
          <w:b/>
          <w:sz w:val="28"/>
          <w:szCs w:val="28"/>
        </w:rPr>
        <w:t xml:space="preserve"> </w:t>
      </w:r>
      <w:r w:rsidR="003E5104" w:rsidRPr="00030090">
        <w:rPr>
          <w:sz w:val="28"/>
          <w:szCs w:val="28"/>
        </w:rPr>
        <w:t>văn bản</w:t>
      </w:r>
      <w:r w:rsidR="003E5104" w:rsidRPr="00030090">
        <w:rPr>
          <w:b/>
          <w:sz w:val="28"/>
          <w:szCs w:val="28"/>
        </w:rPr>
        <w:t xml:space="preserve"> </w:t>
      </w:r>
      <w:r w:rsidRPr="00030090">
        <w:rPr>
          <w:sz w:val="28"/>
          <w:szCs w:val="28"/>
        </w:rPr>
        <w:t xml:space="preserve">ý kiến, </w:t>
      </w:r>
      <w:r w:rsidR="00D228B0" w:rsidRPr="00030090">
        <w:rPr>
          <w:sz w:val="28"/>
          <w:szCs w:val="28"/>
        </w:rPr>
        <w:t>bao gồm</w:t>
      </w:r>
      <w:r w:rsidRPr="00030090">
        <w:rPr>
          <w:sz w:val="28"/>
          <w:szCs w:val="28"/>
        </w:rPr>
        <w:t>:</w:t>
      </w:r>
      <w:r w:rsidR="00100483">
        <w:rPr>
          <w:sz w:val="28"/>
          <w:szCs w:val="28"/>
        </w:rPr>
        <w:t xml:space="preserve"> </w:t>
      </w:r>
      <w:r w:rsidR="00D228B0" w:rsidRPr="00030090">
        <w:rPr>
          <w:sz w:val="28"/>
          <w:szCs w:val="28"/>
        </w:rPr>
        <w:t xml:space="preserve"> </w:t>
      </w:r>
      <w:r w:rsidR="002B778B" w:rsidRPr="00030090">
        <w:rPr>
          <w:sz w:val="28"/>
          <w:szCs w:val="28"/>
        </w:rPr>
        <w:t xml:space="preserve">03 </w:t>
      </w:r>
      <w:r w:rsidR="00100483">
        <w:rPr>
          <w:sz w:val="28"/>
          <w:szCs w:val="28"/>
        </w:rPr>
        <w:t>cơ quan,</w:t>
      </w:r>
      <w:r w:rsidR="00100483">
        <w:rPr>
          <w:rStyle w:val="FootnoteReference"/>
          <w:sz w:val="28"/>
          <w:szCs w:val="28"/>
        </w:rPr>
        <w:footnoteReference w:id="1"/>
      </w:r>
      <w:r w:rsidR="00100483">
        <w:rPr>
          <w:sz w:val="28"/>
          <w:szCs w:val="28"/>
        </w:rPr>
        <w:t xml:space="preserve"> tổ chức không có ý kiến phản đố</w:t>
      </w:r>
      <w:r w:rsidR="005956B3">
        <w:rPr>
          <w:sz w:val="28"/>
          <w:szCs w:val="28"/>
        </w:rPr>
        <w:t>i nội dung dự thảo Nghị định; 04</w:t>
      </w:r>
      <w:r w:rsidR="00100483">
        <w:rPr>
          <w:sz w:val="28"/>
          <w:szCs w:val="28"/>
        </w:rPr>
        <w:t xml:space="preserve"> cơ quan, tổ chức</w:t>
      </w:r>
      <w:r w:rsidR="00515345">
        <w:rPr>
          <w:rStyle w:val="FootnoteReference"/>
          <w:sz w:val="28"/>
          <w:szCs w:val="28"/>
        </w:rPr>
        <w:footnoteReference w:id="2"/>
      </w:r>
      <w:r w:rsidR="00100483">
        <w:rPr>
          <w:sz w:val="28"/>
          <w:szCs w:val="28"/>
        </w:rPr>
        <w:t xml:space="preserve"> có ý kiến góp ý đề nghị chỉnh sửa, bổ sung.</w:t>
      </w:r>
    </w:p>
    <w:p w14:paraId="49BC3B58" w14:textId="553D7D87" w:rsidR="004A43FF" w:rsidRPr="00C4413B" w:rsidRDefault="004A43FF" w:rsidP="004A43FF">
      <w:pPr>
        <w:spacing w:after="120"/>
        <w:ind w:firstLine="567"/>
        <w:jc w:val="both"/>
        <w:rPr>
          <w:b/>
          <w:sz w:val="28"/>
          <w:szCs w:val="28"/>
        </w:rPr>
      </w:pPr>
      <w:r w:rsidRPr="00030090">
        <w:rPr>
          <w:b/>
          <w:sz w:val="28"/>
          <w:szCs w:val="28"/>
        </w:rPr>
        <w:t>2. Kết quả cụ thể như sau:</w:t>
      </w:r>
    </w:p>
    <w:tbl>
      <w:tblPr>
        <w:tblStyle w:val="TableGrid"/>
        <w:tblW w:w="14567" w:type="dxa"/>
        <w:tblLayout w:type="fixed"/>
        <w:tblLook w:val="04A0" w:firstRow="1" w:lastRow="0" w:firstColumn="1" w:lastColumn="0" w:noHBand="0" w:noVBand="1"/>
      </w:tblPr>
      <w:tblGrid>
        <w:gridCol w:w="2335"/>
        <w:gridCol w:w="1440"/>
        <w:gridCol w:w="5400"/>
        <w:gridCol w:w="5392"/>
      </w:tblGrid>
      <w:tr w:rsidR="00930A49" w:rsidRPr="00C4413B" w14:paraId="3FDD25FB" w14:textId="7D341254" w:rsidTr="00334C3A">
        <w:trPr>
          <w:tblHeader/>
        </w:trPr>
        <w:tc>
          <w:tcPr>
            <w:tcW w:w="2335" w:type="dxa"/>
            <w:shd w:val="clear" w:color="auto" w:fill="C6D9F1" w:themeFill="text2" w:themeFillTint="33"/>
            <w:vAlign w:val="center"/>
          </w:tcPr>
          <w:p w14:paraId="21D33D23" w14:textId="5FB57D38" w:rsidR="00930A49" w:rsidRPr="00C4413B" w:rsidRDefault="00930A49" w:rsidP="00CC07A9">
            <w:pPr>
              <w:spacing w:before="40" w:after="40"/>
              <w:jc w:val="center"/>
              <w:rPr>
                <w:b/>
              </w:rPr>
            </w:pPr>
            <w:r w:rsidRPr="00C4413B">
              <w:rPr>
                <w:b/>
              </w:rPr>
              <w:lastRenderedPageBreak/>
              <w:t xml:space="preserve">NHÓM VẤN ĐỀ, </w:t>
            </w:r>
            <w:r w:rsidR="00CC07A9" w:rsidRPr="00C4413B">
              <w:rPr>
                <w:b/>
              </w:rPr>
              <w:br/>
            </w:r>
            <w:r w:rsidRPr="00C4413B">
              <w:rPr>
                <w:b/>
              </w:rPr>
              <w:t>ĐIỀU, KHOẢ</w:t>
            </w:r>
            <w:r w:rsidR="00CC07A9" w:rsidRPr="00C4413B">
              <w:rPr>
                <w:b/>
              </w:rPr>
              <w:t xml:space="preserve">N </w:t>
            </w:r>
            <w:r w:rsidRPr="00C4413B">
              <w:rPr>
                <w:b/>
              </w:rPr>
              <w:t xml:space="preserve">CỦA DỰ THẢO </w:t>
            </w:r>
          </w:p>
        </w:tc>
        <w:tc>
          <w:tcPr>
            <w:tcW w:w="1440" w:type="dxa"/>
            <w:shd w:val="clear" w:color="auto" w:fill="C6D9F1" w:themeFill="text2" w:themeFillTint="33"/>
            <w:vAlign w:val="center"/>
          </w:tcPr>
          <w:p w14:paraId="7676825D" w14:textId="6FA13882" w:rsidR="00930A49" w:rsidRPr="00C4413B" w:rsidRDefault="00930A49" w:rsidP="004A43FF">
            <w:pPr>
              <w:spacing w:before="40" w:after="40"/>
              <w:jc w:val="center"/>
              <w:rPr>
                <w:b/>
              </w:rPr>
            </w:pPr>
            <w:r w:rsidRPr="00C4413B">
              <w:rPr>
                <w:b/>
              </w:rPr>
              <w:t xml:space="preserve">CHỦ THỂ GÓP Ý/ PHẢN BIỆN </w:t>
            </w:r>
          </w:p>
        </w:tc>
        <w:tc>
          <w:tcPr>
            <w:tcW w:w="5400" w:type="dxa"/>
            <w:shd w:val="clear" w:color="auto" w:fill="C6D9F1" w:themeFill="text2" w:themeFillTint="33"/>
            <w:vAlign w:val="center"/>
          </w:tcPr>
          <w:p w14:paraId="30A85D21" w14:textId="392216DA" w:rsidR="00930A49" w:rsidRPr="00C4413B" w:rsidRDefault="00930A49" w:rsidP="004A43FF">
            <w:pPr>
              <w:spacing w:before="40" w:after="40"/>
              <w:jc w:val="center"/>
              <w:rPr>
                <w:b/>
              </w:rPr>
            </w:pPr>
            <w:r w:rsidRPr="00C4413B">
              <w:rPr>
                <w:b/>
              </w:rPr>
              <w:t xml:space="preserve">NỘI DUNG GÓP Ý/PHẢN BIỆN </w:t>
            </w:r>
          </w:p>
        </w:tc>
        <w:tc>
          <w:tcPr>
            <w:tcW w:w="5392" w:type="dxa"/>
            <w:shd w:val="clear" w:color="auto" w:fill="C6D9F1" w:themeFill="text2" w:themeFillTint="33"/>
            <w:vAlign w:val="center"/>
          </w:tcPr>
          <w:p w14:paraId="51B02AAF" w14:textId="07EBBA1E" w:rsidR="00930A49" w:rsidRPr="00C4413B" w:rsidRDefault="00930A49" w:rsidP="00930A49">
            <w:pPr>
              <w:spacing w:before="40" w:after="40"/>
              <w:jc w:val="center"/>
              <w:rPr>
                <w:b/>
              </w:rPr>
            </w:pPr>
            <w:r w:rsidRPr="00C4413B">
              <w:rPr>
                <w:b/>
              </w:rPr>
              <w:t xml:space="preserve">NỘI DUNG </w:t>
            </w:r>
            <w:r w:rsidRPr="00C4413B">
              <w:rPr>
                <w:b/>
              </w:rPr>
              <w:br/>
              <w:t>TIẾP THU, GIẢI TRÌNH</w:t>
            </w:r>
          </w:p>
        </w:tc>
      </w:tr>
      <w:tr w:rsidR="005F333E" w:rsidRPr="00C4413B" w14:paraId="03142D3D" w14:textId="77777777" w:rsidTr="00334C3A">
        <w:tc>
          <w:tcPr>
            <w:tcW w:w="2335" w:type="dxa"/>
          </w:tcPr>
          <w:p w14:paraId="7AAF24F4" w14:textId="77777777" w:rsidR="005F333E" w:rsidRDefault="003C1E88" w:rsidP="00CC07A9">
            <w:pPr>
              <w:spacing w:before="40" w:after="40"/>
              <w:rPr>
                <w:b/>
              </w:rPr>
            </w:pPr>
            <w:r>
              <w:rPr>
                <w:b/>
              </w:rPr>
              <w:t>Tên gọi của dự thảo Nghị định</w:t>
            </w:r>
          </w:p>
          <w:p w14:paraId="3BFEE924" w14:textId="2C29AD3D" w:rsidR="00334C3A" w:rsidRPr="00C4413B" w:rsidRDefault="00334C3A" w:rsidP="00334C3A">
            <w:pPr>
              <w:spacing w:before="40" w:after="40"/>
              <w:jc w:val="both"/>
              <w:rPr>
                <w:b/>
              </w:rPr>
            </w:pPr>
            <w:r w:rsidRPr="00334C3A">
              <w:rPr>
                <w:szCs w:val="28"/>
              </w:rPr>
              <w:t>Nghị định quy định chi tiết một số điều của Luật Phục hồi, phá sản về xử lý tài sản bảo đảm của doanh nghiệp, hợp tác xã, thanh toán bù trừ có lợi, tạm đình chỉ, đình chỉ thực hiện hợp đồng đang có hiệu lực, bù trừ nghĩa vụ trường hợp pháp luật có quy định khác.</w:t>
            </w:r>
          </w:p>
        </w:tc>
        <w:tc>
          <w:tcPr>
            <w:tcW w:w="1440" w:type="dxa"/>
          </w:tcPr>
          <w:p w14:paraId="3D42DA54" w14:textId="7AA28EBC" w:rsidR="005F333E" w:rsidRPr="00D916B8" w:rsidRDefault="009941C3" w:rsidP="005F333E">
            <w:pPr>
              <w:spacing w:before="40" w:after="40"/>
              <w:jc w:val="both"/>
              <w:rPr>
                <w:b/>
              </w:rPr>
            </w:pPr>
            <w:r w:rsidRPr="00D916B8">
              <w:rPr>
                <w:b/>
              </w:rPr>
              <w:t>Bộ Tư pháp</w:t>
            </w:r>
          </w:p>
        </w:tc>
        <w:tc>
          <w:tcPr>
            <w:tcW w:w="5400" w:type="dxa"/>
          </w:tcPr>
          <w:p w14:paraId="48BE9099" w14:textId="72994631" w:rsidR="005F333E" w:rsidRPr="00D916B8" w:rsidRDefault="00F32EEF" w:rsidP="005F333E">
            <w:pPr>
              <w:spacing w:before="40" w:after="40"/>
              <w:jc w:val="both"/>
            </w:pPr>
            <w:r w:rsidRPr="00D916B8">
              <w:t xml:space="preserve">Tên gọi của Nghị định cần được chỉnh lý thành </w:t>
            </w:r>
            <w:r w:rsidRPr="00D916B8">
              <w:rPr>
                <w:i/>
              </w:rPr>
              <w:t xml:space="preserve">“Nghị định quy định chi tiết một số điều của Luật Phục hồi, phá sản về </w:t>
            </w:r>
            <w:r w:rsidRPr="00D916B8">
              <w:rPr>
                <w:i/>
                <w:u w:val="single"/>
              </w:rPr>
              <w:t>không tạm dừng</w:t>
            </w:r>
            <w:r w:rsidRPr="00D916B8">
              <w:rPr>
                <w:i/>
              </w:rPr>
              <w:t xml:space="preserve"> việc xử lý tài sản bảo đảm của doanh nghiệp, hợp tác xã, thanh toán </w:t>
            </w:r>
            <w:r w:rsidRPr="00D916B8">
              <w:rPr>
                <w:i/>
                <w:u w:val="single"/>
              </w:rPr>
              <w:t>hoặc</w:t>
            </w:r>
            <w:r w:rsidRPr="00D916B8">
              <w:rPr>
                <w:i/>
              </w:rPr>
              <w:t xml:space="preserve"> bù trừ có lợi, tạm đình chỉ, đình chỉ thực hiện hợp đồng đang có hiệu lực, bù trừ nghĩa vụ trường hợp pháp luật có quy định khác”</w:t>
            </w:r>
            <w:r w:rsidRPr="00D916B8">
              <w:t xml:space="preserve"> để đảm bảo tính chính xác, phù hợp với nội dung dự thảo Nghị định và nhiệm vụ Quốc hội giao Chính phủ quy định chi tiết.</w:t>
            </w:r>
          </w:p>
        </w:tc>
        <w:tc>
          <w:tcPr>
            <w:tcW w:w="5392" w:type="dxa"/>
          </w:tcPr>
          <w:p w14:paraId="248D6766" w14:textId="08773096" w:rsidR="00DC3DB4" w:rsidRPr="00910B0E" w:rsidRDefault="00DC3DB4" w:rsidP="00DC3DB4">
            <w:pPr>
              <w:jc w:val="both"/>
              <w:rPr>
                <w:b/>
                <w:bCs/>
                <w:szCs w:val="28"/>
              </w:rPr>
            </w:pPr>
            <w:r>
              <w:rPr>
                <w:bCs/>
              </w:rPr>
              <w:t xml:space="preserve">Tiếp thu ý kiến của Bộ Tư pháp, đồng thời để phù hợp với tên và nội dung các điều quy định tại Nghị </w:t>
            </w:r>
            <w:r w:rsidR="002D7B9E">
              <w:rPr>
                <w:bCs/>
              </w:rPr>
              <w:t>định</w:t>
            </w:r>
            <w:r>
              <w:rPr>
                <w:bCs/>
              </w:rPr>
              <w:t xml:space="preserve">, NHNN đã chỉnh sửa tên gọi của </w:t>
            </w:r>
            <w:r w:rsidRPr="00DC3DB4">
              <w:t xml:space="preserve">Nghị định thành: </w:t>
            </w:r>
            <w:r w:rsidRPr="00261394">
              <w:rPr>
                <w:i/>
              </w:rPr>
              <w:t>“</w:t>
            </w:r>
            <w:r w:rsidR="00261394" w:rsidRPr="00261394">
              <w:rPr>
                <w:i/>
              </w:rPr>
              <w:t>Nghị định q</w:t>
            </w:r>
            <w:r w:rsidRPr="00261394">
              <w:rPr>
                <w:i/>
              </w:rPr>
              <w:t xml:space="preserve">uy định chi tiết một số điều của Luật Phục hồi, phá sản về không tạm dừng việc xử lý tài sản bảo đảm của doanh nghiệp, hợp tác xã đối với chủ nợ có tài sản bảo đảm, thanh toán hoặc bù trừ không bị coi là vô hiệu, không tạm đình chỉ, đình chỉ thực hiện hợp đồng đang có hiệu lực, không phải báo cáo </w:t>
            </w:r>
            <w:r w:rsidR="001825AB">
              <w:rPr>
                <w:i/>
              </w:rPr>
              <w:t xml:space="preserve">Thẩm phán </w:t>
            </w:r>
            <w:r w:rsidRPr="00261394">
              <w:rPr>
                <w:i/>
              </w:rPr>
              <w:t>trước khi thực hiện bù trừ nghĩa vụ”.</w:t>
            </w:r>
            <w:r w:rsidRPr="00DC3DB4">
              <w:t xml:space="preserve"> </w:t>
            </w:r>
          </w:p>
          <w:p w14:paraId="7E8B19B3" w14:textId="1271FC19" w:rsidR="00826175" w:rsidRPr="00826175" w:rsidRDefault="00826175" w:rsidP="00826175">
            <w:pPr>
              <w:jc w:val="both"/>
              <w:rPr>
                <w:b/>
                <w:bCs/>
                <w:szCs w:val="28"/>
              </w:rPr>
            </w:pPr>
          </w:p>
          <w:p w14:paraId="51BE0D61" w14:textId="06532F0B" w:rsidR="008F572E" w:rsidRPr="00264944" w:rsidRDefault="008F572E" w:rsidP="00C170EE">
            <w:pPr>
              <w:spacing w:before="40" w:after="40"/>
              <w:jc w:val="both"/>
              <w:rPr>
                <w:bCs/>
                <w:color w:val="FF0000"/>
              </w:rPr>
            </w:pPr>
          </w:p>
        </w:tc>
      </w:tr>
      <w:tr w:rsidR="00E9247A" w:rsidRPr="00C4413B" w14:paraId="58928AE2" w14:textId="77777777" w:rsidTr="00334C3A">
        <w:tc>
          <w:tcPr>
            <w:tcW w:w="2335" w:type="dxa"/>
          </w:tcPr>
          <w:p w14:paraId="43F5043D" w14:textId="77777777" w:rsidR="00E9247A" w:rsidRDefault="0098615D" w:rsidP="0098615D">
            <w:pPr>
              <w:spacing w:before="40" w:after="40"/>
              <w:jc w:val="both"/>
              <w:rPr>
                <w:b/>
              </w:rPr>
            </w:pPr>
            <w:r>
              <w:rPr>
                <w:b/>
              </w:rPr>
              <w:t xml:space="preserve">Điều 1. </w:t>
            </w:r>
            <w:r w:rsidR="00264944">
              <w:rPr>
                <w:b/>
              </w:rPr>
              <w:t>P</w:t>
            </w:r>
            <w:r w:rsidR="00E9247A" w:rsidRPr="00C4413B">
              <w:rPr>
                <w:b/>
              </w:rPr>
              <w:t>hạm vi điều chỉnh</w:t>
            </w:r>
          </w:p>
          <w:p w14:paraId="29B072AD" w14:textId="77777777" w:rsidR="00334C3A" w:rsidRDefault="00334C3A" w:rsidP="00334C3A">
            <w:pPr>
              <w:widowControl w:val="0"/>
              <w:spacing w:before="120" w:line="264" w:lineRule="auto"/>
              <w:jc w:val="both"/>
              <w:rPr>
                <w:szCs w:val="28"/>
              </w:rPr>
            </w:pPr>
            <w:r>
              <w:rPr>
                <w:szCs w:val="28"/>
              </w:rPr>
              <w:t>Nghị định này quy định chi tiết khoản 2 Điều 27, khoản 3 Điều 40, điểm c khoản 1 Điều 49</w:t>
            </w:r>
            <w:r w:rsidRPr="00E835F0">
              <w:rPr>
                <w:szCs w:val="28"/>
              </w:rPr>
              <w:t xml:space="preserve">, khoản 1 và khoản 5 Điều 51, </w:t>
            </w:r>
            <w:r>
              <w:rPr>
                <w:szCs w:val="28"/>
              </w:rPr>
              <w:t xml:space="preserve">khoản 1 Điều 53 của Luật </w:t>
            </w:r>
            <w:r>
              <w:rPr>
                <w:szCs w:val="28"/>
              </w:rPr>
              <w:lastRenderedPageBreak/>
              <w:t>Phục hồi, phá sản.</w:t>
            </w:r>
          </w:p>
          <w:p w14:paraId="214B9ED6" w14:textId="543D5108" w:rsidR="00334C3A" w:rsidRPr="00C4413B" w:rsidRDefault="00334C3A" w:rsidP="0098615D">
            <w:pPr>
              <w:spacing w:before="40" w:after="40"/>
              <w:jc w:val="both"/>
              <w:rPr>
                <w:b/>
              </w:rPr>
            </w:pPr>
          </w:p>
        </w:tc>
        <w:tc>
          <w:tcPr>
            <w:tcW w:w="1440" w:type="dxa"/>
          </w:tcPr>
          <w:p w14:paraId="6D1933C2" w14:textId="3792CA81" w:rsidR="00E9247A" w:rsidRPr="00C4413B" w:rsidRDefault="00E9247A" w:rsidP="000F23B5">
            <w:pPr>
              <w:spacing w:before="40" w:after="40"/>
              <w:jc w:val="both"/>
              <w:rPr>
                <w:b/>
              </w:rPr>
            </w:pPr>
            <w:r w:rsidRPr="00C4413B">
              <w:rPr>
                <w:b/>
              </w:rPr>
              <w:lastRenderedPageBreak/>
              <w:t>Bộ Tư pháp</w:t>
            </w:r>
          </w:p>
        </w:tc>
        <w:tc>
          <w:tcPr>
            <w:tcW w:w="5400" w:type="dxa"/>
          </w:tcPr>
          <w:p w14:paraId="7AE38645" w14:textId="5CB6F710" w:rsidR="00E9247A" w:rsidRPr="00C4413B" w:rsidRDefault="00A53DD7" w:rsidP="00D9036D">
            <w:pPr>
              <w:spacing w:before="40" w:after="40"/>
              <w:jc w:val="both"/>
            </w:pPr>
            <w:r w:rsidRPr="00A53DD7">
              <w:t xml:space="preserve">Dự thảo Nghị định thuộc trường hợp nghị định quy định tại điểm a khoản 2 Điều 14 </w:t>
            </w:r>
            <w:r w:rsidRPr="00A53DD7">
              <w:rPr>
                <w:lang w:val="nl-NL"/>
              </w:rPr>
              <w:t>Luật Ban hành văn bản quy phạm pháp luật số 64/2025/QH15, được sửa đổi, bổ sung bởi Luật số 87/2025/QH15 (Luật BHVBQPPL)</w:t>
            </w:r>
            <w:r w:rsidRPr="00A53DD7">
              <w:t>. Phạm</w:t>
            </w:r>
            <w:r w:rsidRPr="00A53DD7">
              <w:rPr>
                <w:lang w:val="vi-VN"/>
              </w:rPr>
              <w:t xml:space="preserve"> vi điều chỉnh của dự thảo Nghị định cần được cân nhắc chỉnh lý để đảm bảo tuân thủ đúng quy định tại</w:t>
            </w:r>
            <w:r w:rsidRPr="00A53DD7">
              <w:t xml:space="preserve"> Điều 65 </w:t>
            </w:r>
            <w:r w:rsidRPr="00A53DD7">
              <w:rPr>
                <w:lang w:val="nl-NL"/>
              </w:rPr>
              <w:t xml:space="preserve">Nghị định số 78/2025/NĐ-CP ngày 01/4/2025 của Chính phủ quy định chi tiết một số điều và biện pháp để tổ chức, hướng dẫn thi hành Luật BHVBQPPL, được sửa đổi, bổ sung bởi Nghị định số 187/2025/NĐ-CP </w:t>
            </w:r>
            <w:r w:rsidRPr="00A53DD7">
              <w:t>(Nghị định số 78/2025/NĐ-CP)</w:t>
            </w:r>
            <w:r w:rsidRPr="00A53DD7">
              <w:rPr>
                <w:vertAlign w:val="superscript"/>
                <w:lang w:val="nl-NL"/>
              </w:rPr>
              <w:footnoteReference w:id="3"/>
            </w:r>
            <w:r w:rsidRPr="00A53DD7">
              <w:rPr>
                <w:lang w:val="vi-VN"/>
              </w:rPr>
              <w:t xml:space="preserve">, theo đó, cần thể hiện rõ tại Điều 1 </w:t>
            </w:r>
            <w:r w:rsidRPr="00A53DD7">
              <w:rPr>
                <w:lang w:val="vi-VN"/>
              </w:rPr>
              <w:lastRenderedPageBreak/>
              <w:t xml:space="preserve">dự thảo Nghị định quy định chi tiết các điều khoản </w:t>
            </w:r>
            <w:r w:rsidRPr="00A53DD7">
              <w:rPr>
                <w:u w:val="single"/>
                <w:lang w:val="vi-VN"/>
              </w:rPr>
              <w:t>về nội dung gì</w:t>
            </w:r>
            <w:r w:rsidRPr="00A53DD7">
              <w:rPr>
                <w:lang w:val="vi-VN"/>
              </w:rPr>
              <w:t xml:space="preserve"> của Luật Phục hồi, phá sản năm 2025.</w:t>
            </w:r>
          </w:p>
        </w:tc>
        <w:tc>
          <w:tcPr>
            <w:tcW w:w="5392" w:type="dxa"/>
          </w:tcPr>
          <w:p w14:paraId="605C87A9" w14:textId="15342BF2" w:rsidR="00FC4AFE" w:rsidRDefault="000F711C" w:rsidP="00090ED6">
            <w:pPr>
              <w:spacing w:before="40" w:after="40"/>
              <w:jc w:val="both"/>
            </w:pPr>
            <w:r>
              <w:lastRenderedPageBreak/>
              <w:t>Không tiếp thu</w:t>
            </w:r>
            <w:r w:rsidR="00FC4AFE">
              <w:t>.</w:t>
            </w:r>
          </w:p>
          <w:p w14:paraId="57E41A13" w14:textId="10B99CB7" w:rsidR="00FC4AFE" w:rsidRDefault="00FC4AFE" w:rsidP="00A701D7">
            <w:pPr>
              <w:pStyle w:val="NormalWeb"/>
              <w:spacing w:before="0" w:beforeAutospacing="0" w:after="0" w:afterAutospacing="0" w:line="234" w:lineRule="atLeast"/>
              <w:jc w:val="both"/>
              <w:textAlignment w:val="baseline"/>
            </w:pPr>
            <w:r>
              <w:t>Điều 65 Nghị định</w:t>
            </w:r>
            <w:r w:rsidRPr="00FC4AFE">
              <w:rPr>
                <w:bCs/>
              </w:rPr>
              <w:t xml:space="preserve"> số 78/2025/NĐ-CP ngày 01/4/2025 quy định: </w:t>
            </w:r>
            <w:r w:rsidRPr="00FC4AFE">
              <w:rPr>
                <w:bCs/>
                <w:i/>
              </w:rPr>
              <w:t xml:space="preserve">“Điều 65. Quy định về phạm vi điều chỉnh của văn bản. 1. Phạm vi điều chỉnh của văn bản phải nêu các nội dung chính của văn bản. </w:t>
            </w:r>
            <w:bookmarkStart w:id="2" w:name="khoan_2_65"/>
            <w:r w:rsidRPr="00FC4AFE">
              <w:rPr>
                <w:bCs/>
                <w:i/>
              </w:rPr>
              <w:t>2. Trường hợp văn bản có hiệu lực pháp lý cao hơn có điều, khoản giao quy định chi tiết thì phải nêu cụ thể điều, khoản đó tại điều, khoản quy định về phạm vi điều chỉnh của văn bản.</w:t>
            </w:r>
            <w:bookmarkEnd w:id="2"/>
            <w:r w:rsidRPr="00FC4AFE">
              <w:rPr>
                <w:bCs/>
                <w:i/>
              </w:rPr>
              <w:t xml:space="preserve"> 3. Trường hợp văn bản quy định chi tiết nhiều điều, khoản hoặc vừa quy định chi tiết các điều, khoản được giao vừa quy định các nội dung khác thì phải nêu </w:t>
            </w:r>
            <w:r w:rsidRPr="00FC4AFE">
              <w:rPr>
                <w:bCs/>
                <w:i/>
              </w:rPr>
              <w:lastRenderedPageBreak/>
              <w:t>đầy đủ trong phần quy định về phạm vi điều chỉnh của văn bản.</w:t>
            </w:r>
            <w:r>
              <w:rPr>
                <w:bCs/>
                <w:i/>
              </w:rPr>
              <w:t xml:space="preserve">”. </w:t>
            </w:r>
            <w:r>
              <w:rPr>
                <w:bCs/>
              </w:rPr>
              <w:t>Nghị định này là Nghị định quy định chi tiết Luật Phục hồi, phá sản nên NHNN xây dựng theo quy định tại khoản 2 Điều 65</w:t>
            </w:r>
            <w:r w:rsidR="007A42ED">
              <w:rPr>
                <w:bCs/>
              </w:rPr>
              <w:t xml:space="preserve"> nêu trên. Ngoài ra, một số Nghị định quy định chi tiết Luật được ban hành gần đây cũng không nêu chi tiết </w:t>
            </w:r>
            <w:r w:rsidR="00624C0C">
              <w:rPr>
                <w:bCs/>
              </w:rPr>
              <w:t>các điều khoản về nội dung gì như Nghị định</w:t>
            </w:r>
            <w:r w:rsidR="00A701D7">
              <w:rPr>
                <w:bCs/>
              </w:rPr>
              <w:t xml:space="preserve"> số</w:t>
            </w:r>
            <w:r w:rsidR="00624C0C">
              <w:rPr>
                <w:bCs/>
              </w:rPr>
              <w:t xml:space="preserve"> 78/2025/NĐ-CP ngày 01/4/2025</w:t>
            </w:r>
            <w:r w:rsidR="00A701D7">
              <w:rPr>
                <w:bCs/>
              </w:rPr>
              <w:t xml:space="preserve">, Nghị định số </w:t>
            </w:r>
            <w:r w:rsidR="00624C0C">
              <w:rPr>
                <w:bCs/>
              </w:rPr>
              <w:t xml:space="preserve"> </w:t>
            </w:r>
            <w:r w:rsidR="00A701D7">
              <w:rPr>
                <w:bCs/>
              </w:rPr>
              <w:t>63/2026/NĐ-CP ngày 28/02/2026…</w:t>
            </w:r>
          </w:p>
          <w:p w14:paraId="05A2FB62" w14:textId="0FA7BC69" w:rsidR="00AE3006" w:rsidRPr="00C4413B" w:rsidRDefault="00090ED6" w:rsidP="00090ED6">
            <w:pPr>
              <w:spacing w:before="40" w:after="40"/>
              <w:jc w:val="both"/>
            </w:pPr>
            <w:r>
              <w:t xml:space="preserve"> </w:t>
            </w:r>
          </w:p>
        </w:tc>
      </w:tr>
      <w:tr w:rsidR="00ED7936" w:rsidRPr="00C4413B" w14:paraId="7A20AA1A" w14:textId="77777777" w:rsidTr="00334C3A">
        <w:tc>
          <w:tcPr>
            <w:tcW w:w="2335" w:type="dxa"/>
          </w:tcPr>
          <w:p w14:paraId="72AAA116" w14:textId="01A2D0B7" w:rsidR="00ED7936" w:rsidRDefault="00ED7936" w:rsidP="00264944">
            <w:pPr>
              <w:spacing w:before="40" w:after="40"/>
              <w:jc w:val="both"/>
              <w:rPr>
                <w:b/>
              </w:rPr>
            </w:pPr>
          </w:p>
        </w:tc>
        <w:tc>
          <w:tcPr>
            <w:tcW w:w="1440" w:type="dxa"/>
          </w:tcPr>
          <w:p w14:paraId="16F2CB98" w14:textId="5BE2ECB5" w:rsidR="00ED7936" w:rsidRPr="00C4413B" w:rsidRDefault="00ED7936" w:rsidP="000F23B5">
            <w:pPr>
              <w:spacing w:before="40" w:after="40"/>
              <w:jc w:val="both"/>
              <w:rPr>
                <w:b/>
              </w:rPr>
            </w:pPr>
            <w:r w:rsidRPr="00C4413B">
              <w:rPr>
                <w:b/>
              </w:rPr>
              <w:t>Bộ Tư pháp</w:t>
            </w:r>
          </w:p>
        </w:tc>
        <w:tc>
          <w:tcPr>
            <w:tcW w:w="5400" w:type="dxa"/>
          </w:tcPr>
          <w:p w14:paraId="7B7950C5" w14:textId="1D4FC73E" w:rsidR="00ED7936" w:rsidRPr="00A53DD7" w:rsidRDefault="00ED7936" w:rsidP="00D9036D">
            <w:pPr>
              <w:spacing w:before="40" w:after="40"/>
              <w:jc w:val="both"/>
            </w:pPr>
            <w:r w:rsidRPr="00ED7936">
              <w:t>Dự thảo Nghị định cần bổ sung quy định về đối tượng áp dụng để đảm bảo có cơ sở rõ ràng cho việc áp dụng.</w:t>
            </w:r>
          </w:p>
        </w:tc>
        <w:tc>
          <w:tcPr>
            <w:tcW w:w="5392" w:type="dxa"/>
          </w:tcPr>
          <w:p w14:paraId="44A494BF" w14:textId="77777777" w:rsidR="00334C3A" w:rsidRDefault="00086B79" w:rsidP="00334C3A">
            <w:pPr>
              <w:spacing w:before="40" w:after="40"/>
              <w:jc w:val="both"/>
            </w:pPr>
            <w:r>
              <w:t>Không tiếp thu</w:t>
            </w:r>
            <w:r w:rsidR="00334C3A">
              <w:t>.</w:t>
            </w:r>
          </w:p>
          <w:p w14:paraId="781C8B80" w14:textId="77FAD471" w:rsidR="00ED7936" w:rsidRPr="00C4413B" w:rsidRDefault="00086B79" w:rsidP="00334C3A">
            <w:pPr>
              <w:spacing w:before="40" w:after="40"/>
              <w:jc w:val="both"/>
            </w:pPr>
            <w:r>
              <w:t>Nghị định</w:t>
            </w:r>
            <w:r w:rsidR="00334C3A">
              <w:t xml:space="preserve"> này</w:t>
            </w:r>
            <w:r>
              <w:t xml:space="preserve"> hướng dẫn Luật Phục hồi, phá sản</w:t>
            </w:r>
            <w:r w:rsidR="00334C3A">
              <w:t xml:space="preserve"> và có</w:t>
            </w:r>
            <w:r>
              <w:t xml:space="preserve"> đối tượng áp dụng</w:t>
            </w:r>
            <w:r w:rsidR="00334C3A">
              <w:t xml:space="preserve"> trùng với </w:t>
            </w:r>
            <w:r>
              <w:t>đối tượng áp d</w:t>
            </w:r>
            <w:r w:rsidR="00334C3A">
              <w:t>ụng của Luật Phục hồi, phá sản nên không cần thiết quy định đối tượng áp dụng.</w:t>
            </w:r>
          </w:p>
        </w:tc>
      </w:tr>
      <w:tr w:rsidR="00CA5DD9" w:rsidRPr="00C4413B" w14:paraId="35AE8BBE" w14:textId="77777777" w:rsidTr="00334C3A">
        <w:tc>
          <w:tcPr>
            <w:tcW w:w="2335" w:type="dxa"/>
          </w:tcPr>
          <w:p w14:paraId="7B5632E5" w14:textId="78EB3EA5" w:rsidR="00CA5DD9" w:rsidRDefault="00CA5DD9" w:rsidP="00ED7936">
            <w:pPr>
              <w:spacing w:before="40" w:after="40"/>
              <w:jc w:val="both"/>
              <w:rPr>
                <w:b/>
              </w:rPr>
            </w:pPr>
          </w:p>
        </w:tc>
        <w:tc>
          <w:tcPr>
            <w:tcW w:w="1440" w:type="dxa"/>
          </w:tcPr>
          <w:p w14:paraId="34EB752D" w14:textId="5AD2D84A" w:rsidR="00CA5DD9" w:rsidRPr="00C4413B" w:rsidRDefault="00CA5DD9" w:rsidP="00CA5DD9">
            <w:pPr>
              <w:spacing w:before="40" w:after="40"/>
              <w:rPr>
                <w:b/>
              </w:rPr>
            </w:pPr>
            <w:r>
              <w:rPr>
                <w:b/>
              </w:rPr>
              <w:t>Hiệp hội ngân hàng</w:t>
            </w:r>
          </w:p>
        </w:tc>
        <w:tc>
          <w:tcPr>
            <w:tcW w:w="5400" w:type="dxa"/>
          </w:tcPr>
          <w:p w14:paraId="50CA2954" w14:textId="1518C3B9" w:rsidR="00496CC6" w:rsidRPr="00496CC6" w:rsidRDefault="00BF0340" w:rsidP="00496CC6">
            <w:pPr>
              <w:spacing w:before="40" w:after="40"/>
              <w:jc w:val="both"/>
              <w:rPr>
                <w:b/>
              </w:rPr>
            </w:pPr>
            <w:r>
              <w:t>1.</w:t>
            </w:r>
            <w:r w:rsidR="00905798">
              <w:t xml:space="preserve"> </w:t>
            </w:r>
            <w:r w:rsidR="00496CC6" w:rsidRPr="00496CC6">
              <w:t xml:space="preserve">Điều 1 Dự thảo dẫn chiếu khoản 1 Điều 51 Luật Phục hồi, phá sản 2025 về tạm đình chỉ, đình chỉ thực hiện hợp đồng đang có hiệu lực nhưng </w:t>
            </w:r>
            <w:r w:rsidR="00496CC6" w:rsidRPr="00496CC6">
              <w:rPr>
                <w:bCs/>
              </w:rPr>
              <w:t>chưa làm rõ trường hợp loại trừ đối với các hợp đồng có thỏa thuận thanh toán ròng</w:t>
            </w:r>
            <w:r w:rsidR="00496CC6" w:rsidRPr="00496CC6">
              <w:t>.</w:t>
            </w:r>
            <w:r w:rsidR="00496CC6" w:rsidRPr="00496CC6">
              <w:rPr>
                <w:b/>
              </w:rPr>
              <w:t xml:space="preserve"> </w:t>
            </w:r>
            <w:r w:rsidR="00496CC6" w:rsidRPr="00496CC6">
              <w:t xml:space="preserve">Quy định về tạm đình chỉ, đình chỉ thực hiện hợp đồng đang có hiệu lực có thể làm gián đoạn việc thực hiện cơ chế thanh toán ròng theo tiêu chuẩn quốc tế do </w:t>
            </w:r>
            <w:r w:rsidR="00496CC6" w:rsidRPr="00496CC6">
              <w:rPr>
                <w:lang w:val="pt-BR"/>
              </w:rPr>
              <w:t xml:space="preserve">Hiệp hội Hoán đổi và Phái sinh Quốc </w:t>
            </w:r>
            <w:r w:rsidR="00496CC6" w:rsidRPr="00496CC6">
              <w:rPr>
                <w:lang w:val="pt-BR"/>
              </w:rPr>
              <w:lastRenderedPageBreak/>
              <w:t>tế</w:t>
            </w:r>
            <w:r w:rsidR="00496CC6" w:rsidRPr="00496CC6">
              <w:t xml:space="preserve"> (ISDA) ban hành, do thanh toán ròng chỉ có thể thực hiện khi hợp đồng được chấm dứt và tất toán ngay.</w:t>
            </w:r>
          </w:p>
          <w:p w14:paraId="76A060BE" w14:textId="4EDEBB64" w:rsidR="00496CC6" w:rsidRPr="00496CC6" w:rsidRDefault="00BF0340" w:rsidP="00496CC6">
            <w:pPr>
              <w:spacing w:before="40" w:after="40"/>
              <w:jc w:val="both"/>
            </w:pPr>
            <w:r>
              <w:t>2.</w:t>
            </w:r>
            <w:r w:rsidR="00905798">
              <w:t xml:space="preserve"> </w:t>
            </w:r>
            <w:r w:rsidR="00496CC6" w:rsidRPr="00496CC6">
              <w:t xml:space="preserve">Đề nghị Cơ quan soạn thảo </w:t>
            </w:r>
            <w:r w:rsidR="00496CC6" w:rsidRPr="00496CC6">
              <w:rPr>
                <w:bCs/>
              </w:rPr>
              <w:t>làm rõ hoặc bổ sung nguyên tắc loại trừ</w:t>
            </w:r>
            <w:r w:rsidR="00496CC6" w:rsidRPr="00496CC6">
              <w:t xml:space="preserve"> đối với hợp đồng có thỏa thuận thanh toán ròng, bao gồm cả các hợp đồng theo điều ước quốc tế hoặc thông lệ quốc tế được công nhận, nhằm bảo đảm khả năng thực hiện thanh toán ròng trên thực tế.</w:t>
            </w:r>
          </w:p>
          <w:p w14:paraId="47FB0E19" w14:textId="77777777" w:rsidR="00CA5DD9" w:rsidRPr="00C4413B" w:rsidRDefault="00CA5DD9" w:rsidP="00E9247A">
            <w:pPr>
              <w:spacing w:before="40" w:after="40"/>
              <w:jc w:val="both"/>
            </w:pPr>
          </w:p>
        </w:tc>
        <w:tc>
          <w:tcPr>
            <w:tcW w:w="5392" w:type="dxa"/>
          </w:tcPr>
          <w:p w14:paraId="7422FA03" w14:textId="77777777" w:rsidR="00BF0340" w:rsidRDefault="00BF0340" w:rsidP="000F23B5">
            <w:pPr>
              <w:spacing w:before="40" w:after="40"/>
              <w:jc w:val="both"/>
            </w:pPr>
            <w:r>
              <w:lastRenderedPageBreak/>
              <w:t>1. Không tiếp thu.</w:t>
            </w:r>
          </w:p>
          <w:p w14:paraId="6E293DD4" w14:textId="542816FB" w:rsidR="00CA5DD9" w:rsidRDefault="00BF0340" w:rsidP="000F23B5">
            <w:pPr>
              <w:spacing w:before="40" w:after="40"/>
              <w:jc w:val="both"/>
            </w:pPr>
            <w:r>
              <w:t>Điều 2</w:t>
            </w:r>
            <w:r w:rsidR="003978B4" w:rsidRPr="00905798">
              <w:t xml:space="preserve"> </w:t>
            </w:r>
            <w:r>
              <w:t>dự thảo Nghị định đã quy định c</w:t>
            </w:r>
            <w:r w:rsidR="00F34AF6">
              <w:t>ác hợp đồng có thỏa thuận thanh toán ròng đã được loại trừ ra khỏi quy định tại khoản 1 Điều 51.</w:t>
            </w:r>
          </w:p>
          <w:p w14:paraId="75B2901D" w14:textId="7B806A7C" w:rsidR="00BF0340" w:rsidRDefault="00BF0340" w:rsidP="00F34AF6">
            <w:pPr>
              <w:spacing w:before="40" w:after="40"/>
              <w:jc w:val="both"/>
            </w:pPr>
            <w:r>
              <w:t>2. Không tiếp thu.</w:t>
            </w:r>
          </w:p>
          <w:p w14:paraId="615BB343" w14:textId="4D7AE1EF" w:rsidR="00926AAF" w:rsidRDefault="00926AAF" w:rsidP="00926AAF">
            <w:pPr>
              <w:spacing w:before="40" w:after="40"/>
              <w:jc w:val="both"/>
            </w:pPr>
            <w:r>
              <w:t xml:space="preserve">Dự thảo Nghị định </w:t>
            </w:r>
            <w:r w:rsidR="0046070B">
              <w:t xml:space="preserve">quy định chỉ các hợp đồng phái sinh có thỏa thuận thanh toán ròng theo quy định của Luật Các TCTD và hướng dẫn của NHNN mới mới được thực hiện theo quy định tại Nghị định này. Theo </w:t>
            </w:r>
            <w:r w:rsidR="0046070B">
              <w:lastRenderedPageBreak/>
              <w:t>đó, chỉ có sản phẩm phái sinh lãi suất quy định tại Thông tư số 01/2015/TT-NHNN ngày 06/1/2015 quy định hoạt động kinh doanh, cung ứng sản phẩm p hái sinh lãi suất của NHTM, chi nhánh ngân hàng nước ngoài (Thông tư 01- đã được sửa đổi, bổ sung) mới được thực hiện, mà Điều 14 Thông tư 01 về hợp đồng phái sinh lãi suất đã quy định các bên  có thể thỏa thuận áp dụng Hợp đồng mẫu của Hiệp hội Hoán đổi và Phái sinh quốc tế.</w:t>
            </w:r>
            <w:r>
              <w:t xml:space="preserve"> </w:t>
            </w:r>
          </w:p>
          <w:p w14:paraId="0558AB41" w14:textId="03C5916D" w:rsidR="00F34AF6" w:rsidRPr="00905798" w:rsidRDefault="00926AAF" w:rsidP="00255994">
            <w:pPr>
              <w:spacing w:before="40" w:after="40"/>
              <w:jc w:val="both"/>
            </w:pPr>
            <w:r>
              <w:t xml:space="preserve">Ngoài ra, </w:t>
            </w:r>
            <w:r w:rsidR="00F34AF6">
              <w:t xml:space="preserve">Nghị định quy định các vấn đề chung, </w:t>
            </w:r>
            <w:r w:rsidR="0046070B">
              <w:t xml:space="preserve">việc </w:t>
            </w:r>
            <w:r w:rsidR="00F34AF6">
              <w:t xml:space="preserve">quy định cụ thể hợp đồng </w:t>
            </w:r>
            <w:r w:rsidR="0046070B">
              <w:t>b</w:t>
            </w:r>
            <w:r w:rsidR="0072729E">
              <w:t>a</w:t>
            </w:r>
            <w:r w:rsidR="0046070B">
              <w:t xml:space="preserve">o gồm cả các hợp đồng theo điều ước quốc tế hoặc thông lệ quốc tế cần được quy định tại </w:t>
            </w:r>
            <w:r w:rsidR="00255994">
              <w:t>pháp luật</w:t>
            </w:r>
            <w:r w:rsidR="0046070B">
              <w:t xml:space="preserve"> chuyên ngành về sản phẩm đó tương t</w:t>
            </w:r>
            <w:r w:rsidR="00147D43">
              <w:t>ự</w:t>
            </w:r>
            <w:r w:rsidR="0046070B">
              <w:t xml:space="preserve"> như Thông tư 01 về phái sinh lãi suất.</w:t>
            </w:r>
          </w:p>
        </w:tc>
      </w:tr>
      <w:tr w:rsidR="006F41B6" w:rsidRPr="00C4413B" w14:paraId="7C77B33D" w14:textId="77777777" w:rsidTr="00334C3A">
        <w:tc>
          <w:tcPr>
            <w:tcW w:w="2335" w:type="dxa"/>
          </w:tcPr>
          <w:p w14:paraId="75C11644" w14:textId="5E4F9C13" w:rsidR="00BF0340" w:rsidRPr="00BF0340" w:rsidRDefault="00BF0340" w:rsidP="00BF0340">
            <w:pPr>
              <w:spacing w:before="40" w:after="40"/>
              <w:jc w:val="both"/>
              <w:rPr>
                <w:b/>
              </w:rPr>
            </w:pPr>
            <w:r>
              <w:rPr>
                <w:b/>
              </w:rPr>
              <w:lastRenderedPageBreak/>
              <w:t>Điều 2</w:t>
            </w:r>
          </w:p>
          <w:p w14:paraId="238DEB0D" w14:textId="77777777" w:rsidR="00BF0340" w:rsidRDefault="00BF0340" w:rsidP="00BF0340">
            <w:pPr>
              <w:spacing w:before="40" w:after="40"/>
              <w:jc w:val="both"/>
              <w:rPr>
                <w:bCs/>
              </w:rPr>
            </w:pPr>
            <w:r w:rsidRPr="00BF0340">
              <w:t>Quy định tại khoản 2 Điều 27 và khoản 3 Điều</w:t>
            </w:r>
            <w:r w:rsidRPr="00FD6C2F">
              <w:t xml:space="preserve"> 40, điểm c khoản 1 Điều 49, khoản 1 và khoản 5 Điều 51, khoản 1 Điều 53 về tạm đình chỉ, tạm dừng giải quyết yêu cầu doanh nghiệp, hợp tác xã thực hiện nghĩa vụ về tài sản</w:t>
            </w:r>
            <w:r>
              <w:t>,</w:t>
            </w:r>
            <w:r w:rsidRPr="00FD6C2F">
              <w:t xml:space="preserve"> giao dịch bị coi là vô hiệu</w:t>
            </w:r>
            <w:r>
              <w:t>,</w:t>
            </w:r>
            <w:r w:rsidRPr="00FD6C2F">
              <w:t xml:space="preserve"> tạm đình chỉ, đình chỉ thực </w:t>
            </w:r>
            <w:r w:rsidRPr="00FD6C2F">
              <w:lastRenderedPageBreak/>
              <w:t>hiện hợp đồng đang có hiệu lực</w:t>
            </w:r>
            <w:r>
              <w:t>,</w:t>
            </w:r>
            <w:r w:rsidRPr="00FD6C2F">
              <w:t xml:space="preserve"> bù trừ nghĩa vụ</w:t>
            </w:r>
            <w:r>
              <w:t xml:space="preserve"> của Luật Phục hồi, phá sản không áp dụng </w:t>
            </w:r>
            <w:r w:rsidRPr="00C503A5">
              <w:t xml:space="preserve">đối với </w:t>
            </w:r>
            <w:r>
              <w:t>các hợp đồng</w:t>
            </w:r>
            <w:r w:rsidRPr="00C503A5">
              <w:t xml:space="preserve"> phái sinh có thỏa thuận thanh toán ròng</w:t>
            </w:r>
            <w:r w:rsidRPr="00C503A5">
              <w:rPr>
                <w:bCs/>
              </w:rPr>
              <w:t xml:space="preserve"> theo quy định tại Luật Các tổ chức tín dụng và hướng dẫn của Ngân hàng Nhà nước Việt Nam. V</w:t>
            </w:r>
            <w:r w:rsidRPr="00C503A5">
              <w:t xml:space="preserve">iệc thanh toán khoản nợ ròng sau khi bù trừ đối với các </w:t>
            </w:r>
            <w:r>
              <w:t>hợp đồng</w:t>
            </w:r>
            <w:r w:rsidRPr="00C503A5">
              <w:t xml:space="preserve"> phái sinh có thỏa thuận thanh toán ròng</w:t>
            </w:r>
            <w:r w:rsidRPr="00C503A5">
              <w:rPr>
                <w:bCs/>
              </w:rPr>
              <w:t xml:space="preserve"> </w:t>
            </w:r>
            <w:r w:rsidRPr="00C503A5">
              <w:t>được thực hiện theo quy định tại Luật Phục hồi, phá sản.</w:t>
            </w:r>
          </w:p>
          <w:p w14:paraId="31C6ED06" w14:textId="471B81B3" w:rsidR="006F41B6" w:rsidRPr="00C4413B" w:rsidRDefault="006F41B6" w:rsidP="000F23B5">
            <w:pPr>
              <w:spacing w:before="40" w:after="40"/>
              <w:jc w:val="both"/>
            </w:pPr>
          </w:p>
        </w:tc>
        <w:tc>
          <w:tcPr>
            <w:tcW w:w="1440" w:type="dxa"/>
          </w:tcPr>
          <w:p w14:paraId="377FBC66" w14:textId="2DE384D2" w:rsidR="006F41B6" w:rsidRPr="00C4413B" w:rsidRDefault="0085074D" w:rsidP="000F23B5">
            <w:pPr>
              <w:spacing w:before="40" w:after="40"/>
              <w:jc w:val="both"/>
              <w:rPr>
                <w:b/>
              </w:rPr>
            </w:pPr>
            <w:r w:rsidRPr="00C4413B">
              <w:rPr>
                <w:b/>
              </w:rPr>
              <w:lastRenderedPageBreak/>
              <w:t>Bộ Tư pháp</w:t>
            </w:r>
          </w:p>
        </w:tc>
        <w:tc>
          <w:tcPr>
            <w:tcW w:w="5400" w:type="dxa"/>
          </w:tcPr>
          <w:p w14:paraId="2A009A53" w14:textId="22ACD76E" w:rsidR="00B247E4" w:rsidRPr="001D3E8D" w:rsidRDefault="00605078" w:rsidP="00B247E4">
            <w:pPr>
              <w:spacing w:before="40" w:after="40"/>
              <w:jc w:val="both"/>
            </w:pPr>
            <w:r w:rsidRPr="001D3E8D">
              <w:t>1.</w:t>
            </w:r>
            <w:r w:rsidR="00B247E4" w:rsidRPr="001D3E8D">
              <w:t xml:space="preserve"> </w:t>
            </w:r>
            <w:r w:rsidR="00B247E4" w:rsidRPr="001D3E8D">
              <w:rPr>
                <w:lang w:val="vi-VN"/>
              </w:rPr>
              <w:t>Luật Các tổ chức tín dụng không có quy định về hợp đồng phái sinh</w:t>
            </w:r>
            <w:r w:rsidR="00B247E4" w:rsidRPr="001D3E8D">
              <w:t xml:space="preserve"> mà chỉ quy định liên quan đến “</w:t>
            </w:r>
            <w:r w:rsidR="00B247E4" w:rsidRPr="001D3E8D">
              <w:rPr>
                <w:i/>
                <w:iCs/>
              </w:rPr>
              <w:t>sản phẩm phái sinh</w:t>
            </w:r>
            <w:r w:rsidR="00B247E4" w:rsidRPr="001D3E8D">
              <w:t>”</w:t>
            </w:r>
            <w:r w:rsidR="00B247E4" w:rsidRPr="001D3E8D">
              <w:rPr>
                <w:lang w:val="vi-VN"/>
              </w:rPr>
              <w:t xml:space="preserve">; Thông tư số 01/2015/TT-NHNN ngày 31/12/2021 của Ngân hàng Nhà nước Việt Nam </w:t>
            </w:r>
            <w:r w:rsidR="00B247E4" w:rsidRPr="001D3E8D">
              <w:t>quy định hoạt động kinh doanh, cung ứng sản phẩm phái sinh lãi suất của ngân hàng thương mại, chi nhánh ngân hàng nước ngoài</w:t>
            </w:r>
            <w:r w:rsidR="00B247E4" w:rsidRPr="001D3E8D">
              <w:rPr>
                <w:lang w:val="vi-VN"/>
              </w:rPr>
              <w:t xml:space="preserve">, được sửa đổi, bổ sung bởi Thông tư số </w:t>
            </w:r>
            <w:r w:rsidR="00B247E4" w:rsidRPr="001D3E8D">
              <w:t>25/2021/TT-NHNN</w:t>
            </w:r>
            <w:r w:rsidR="00B247E4" w:rsidRPr="001D3E8D">
              <w:rPr>
                <w:lang w:val="vi-VN"/>
              </w:rPr>
              <w:t xml:space="preserve"> chỉ có quy định về việc thanh toán ròng của các </w:t>
            </w:r>
            <w:r w:rsidR="00B247E4" w:rsidRPr="001D3E8D">
              <w:t>“</w:t>
            </w:r>
            <w:r w:rsidR="00B247E4" w:rsidRPr="001D3E8D">
              <w:rPr>
                <w:i/>
                <w:iCs/>
                <w:lang w:val="vi-VN"/>
              </w:rPr>
              <w:t>hợp đồng phái sinh lãi suất</w:t>
            </w:r>
            <w:r w:rsidR="00B247E4" w:rsidRPr="001D3E8D">
              <w:t>”</w:t>
            </w:r>
            <w:r w:rsidR="00B247E4" w:rsidRPr="001D3E8D">
              <w:rPr>
                <w:lang w:val="vi-VN"/>
              </w:rPr>
              <w:t xml:space="preserve">. </w:t>
            </w:r>
            <w:r w:rsidR="00B247E4" w:rsidRPr="001D3E8D">
              <w:t>Do đó, Điều 2 dự thảo Nghị định cần được chỉnh lý, hoàn thiện để đảm bảo tính thống nhất, đồng bộ của hệ thống pháp luật.</w:t>
            </w:r>
          </w:p>
          <w:p w14:paraId="3A6B57E4" w14:textId="3C4727D0" w:rsidR="006F41B6" w:rsidRPr="00C4413B" w:rsidRDefault="00605078" w:rsidP="00B247E4">
            <w:pPr>
              <w:spacing w:before="40" w:after="40"/>
              <w:jc w:val="both"/>
            </w:pPr>
            <w:r w:rsidRPr="001D3E8D">
              <w:t>2.</w:t>
            </w:r>
            <w:r w:rsidR="00B247E4" w:rsidRPr="001D3E8D">
              <w:t xml:space="preserve"> Liên quan đến bù trừ nghĩa</w:t>
            </w:r>
            <w:r w:rsidR="00B247E4" w:rsidRPr="00B247E4">
              <w:t xml:space="preserve"> vụ, Bộ luật Dân sự năm 2015 có quy định về những trường hợp không được bù trừ nghĩa vụ tại Điều 379, theo đó gồm: </w:t>
            </w:r>
            <w:r w:rsidR="00B247E4" w:rsidRPr="00B247E4">
              <w:rPr>
                <w:i/>
              </w:rPr>
              <w:t xml:space="preserve">“1. Nghĩa vụ </w:t>
            </w:r>
            <w:r w:rsidR="00B247E4" w:rsidRPr="00B247E4">
              <w:rPr>
                <w:i/>
              </w:rPr>
              <w:lastRenderedPageBreak/>
              <w:t>đang có tranh chấp; 2. Nghĩa vụ bồi thường thiệt hại do xâm phạm tính mạng, sức khỏe, danh dự, nhân phẩm, uy tín; 3. Nghĩa vụ cấp dưỡng; 4. Nghĩa vụ khác do luật quy định”</w:t>
            </w:r>
            <w:r w:rsidR="00B247E4" w:rsidRPr="00B247E4">
              <w:t>. Như vậy, cơ quan chủ trì soạn thảo cần rà soát các nội dung này với Bộ luật Dân sự năm 2015 và pháp luật khác có liên quan, đảm bảo quy định chặt chẽ, đầy đủ, thống nhất, tránh phát sinh vướng mắc trong thực tiễn thi hành.</w:t>
            </w:r>
          </w:p>
        </w:tc>
        <w:tc>
          <w:tcPr>
            <w:tcW w:w="5392" w:type="dxa"/>
          </w:tcPr>
          <w:p w14:paraId="7ED04FA7" w14:textId="5B0884E2" w:rsidR="00F8778A" w:rsidRDefault="003D50C2" w:rsidP="00C41F13">
            <w:pPr>
              <w:spacing w:before="40" w:after="40"/>
              <w:jc w:val="both"/>
            </w:pPr>
            <w:r w:rsidRPr="003D50C2">
              <w:lastRenderedPageBreak/>
              <w:t>1.</w:t>
            </w:r>
            <w:r>
              <w:t xml:space="preserve"> </w:t>
            </w:r>
            <w:r w:rsidR="00255994">
              <w:t>Tiếp thu ý kiến của Bộ Tư pháp, NHNN đã chỉnh sửa Điều 2 dự thảo Nghị định như sau:</w:t>
            </w:r>
          </w:p>
          <w:p w14:paraId="70DEC873" w14:textId="4694F256" w:rsidR="00255994" w:rsidRDefault="00255994" w:rsidP="00C41F13">
            <w:pPr>
              <w:spacing w:before="40" w:after="40"/>
              <w:jc w:val="both"/>
            </w:pPr>
            <w:r>
              <w:t xml:space="preserve">(1) </w:t>
            </w:r>
            <w:r w:rsidR="005D2C2F">
              <w:t xml:space="preserve">Hợp đồng phái sinh có điều khoản về thanh toán ròng được quy định tại Nghị định này và việc xác định khoản tiền ròng liên quan đến điều khoản về thanh toán ròng được thực hiện theo quy định của </w:t>
            </w:r>
            <w:r w:rsidR="005D2C2F" w:rsidRPr="006F5534">
              <w:t>Luật Các tổ chức tín dụng và hướng dẫn của Ngân hàng Nhà nước Việt Nam</w:t>
            </w:r>
            <w:r>
              <w:t>.</w:t>
            </w:r>
          </w:p>
          <w:p w14:paraId="24623862" w14:textId="0A0A55D0" w:rsidR="00255994" w:rsidRDefault="00255994" w:rsidP="00C41F13">
            <w:pPr>
              <w:spacing w:before="40" w:after="40"/>
              <w:jc w:val="both"/>
            </w:pPr>
            <w:r>
              <w:t xml:space="preserve">(2) </w:t>
            </w:r>
            <w:r w:rsidR="005D2C2F" w:rsidRPr="005D2C2F">
              <w:t>Việc xử lý kết quả bù trừ, bao gồm việc thanh toán phần giá trị tài sản chênh lệch sau khi xác định khoản tiền ròng quy định tại khoản 1 Điều này được thực hiện theo quy định tại khoản 2, khoản 3 Điều 6 Nghị định này và quy định của pháp luật về phục hồi, phá sản</w:t>
            </w:r>
            <w:r>
              <w:t>.</w:t>
            </w:r>
          </w:p>
          <w:p w14:paraId="4317A091" w14:textId="2705EEFC" w:rsidR="00C133C7" w:rsidRPr="00C133C7" w:rsidRDefault="00F8778A" w:rsidP="002B7247">
            <w:pPr>
              <w:spacing w:before="40" w:after="40"/>
              <w:jc w:val="both"/>
            </w:pPr>
            <w:r>
              <w:t>2. Tiếp thu ý kiến của Bộ Tư pháp, NHNN đã</w:t>
            </w:r>
            <w:r w:rsidR="00B51585">
              <w:t xml:space="preserve"> rà soát quy định tại dự thảo Nghị định với Điều 379 Bộ </w:t>
            </w:r>
            <w:r w:rsidR="002B7247">
              <w:t>L</w:t>
            </w:r>
            <w:r w:rsidR="00B51585">
              <w:t xml:space="preserve">uật </w:t>
            </w:r>
            <w:r w:rsidR="00B51585">
              <w:lastRenderedPageBreak/>
              <w:t>dân sự</w:t>
            </w:r>
            <w:r>
              <w:t>.</w:t>
            </w:r>
            <w:r w:rsidR="001D3E8D">
              <w:t xml:space="preserve"> </w:t>
            </w:r>
            <w:r w:rsidR="00C133C7" w:rsidRPr="00C133C7">
              <w:t>Điều</w:t>
            </w:r>
            <w:r w:rsidR="00C133C7">
              <w:t xml:space="preserve"> 379 Bộ Luật dân sự</w:t>
            </w:r>
            <w:r w:rsidR="00C133C7" w:rsidRPr="00B247E4">
              <w:t xml:space="preserve"> quy định về những trường hợp không được bù trừ nghĩa vụ gồm: </w:t>
            </w:r>
            <w:r w:rsidR="00C133C7" w:rsidRPr="00B247E4">
              <w:rPr>
                <w:i/>
              </w:rPr>
              <w:t>“1. Nghĩa vụ đang có tranh chấp; 2. Nghĩa vụ bồi thường thiệt hại do xâm phạm tính mạng, sức khỏe, danh dự, nhân phẩm, uy tín; 3. Nghĩa vụ cấp dưỡng; 4. Nghĩa vụ khác do luật quy định”</w:t>
            </w:r>
            <w:r w:rsidR="00147D43">
              <w:t>;</w:t>
            </w:r>
            <w:r w:rsidR="00B51585">
              <w:t xml:space="preserve"> q</w:t>
            </w:r>
            <w:r w:rsidR="00432D74">
              <w:t xml:space="preserve">uy định tại Nghị định là quy định dưới Luật và phải tuân thủ quy định tại các Luật </w:t>
            </w:r>
            <w:r w:rsidR="005956E7">
              <w:t>nên không cần thiết loại trừ các quy định tại Điều</w:t>
            </w:r>
            <w:r w:rsidR="00432D74">
              <w:t xml:space="preserve"> 379</w:t>
            </w:r>
            <w:r w:rsidR="00D20AC3">
              <w:t xml:space="preserve"> Bộ </w:t>
            </w:r>
            <w:r w:rsidR="002B7247">
              <w:t>L</w:t>
            </w:r>
            <w:r w:rsidR="005956E7">
              <w:t>uật dân sự vào Nghị định.</w:t>
            </w:r>
          </w:p>
        </w:tc>
      </w:tr>
      <w:tr w:rsidR="000F23B5" w:rsidRPr="00C4413B" w14:paraId="02BBCD66" w14:textId="77777777" w:rsidTr="00334C3A">
        <w:tc>
          <w:tcPr>
            <w:tcW w:w="2335" w:type="dxa"/>
          </w:tcPr>
          <w:p w14:paraId="6773F930" w14:textId="6719D4A0" w:rsidR="000F23B5" w:rsidRPr="00C4413B" w:rsidRDefault="000F23B5" w:rsidP="00ED7936">
            <w:pPr>
              <w:spacing w:before="40" w:after="40"/>
              <w:jc w:val="both"/>
              <w:rPr>
                <w:b/>
              </w:rPr>
            </w:pPr>
          </w:p>
        </w:tc>
        <w:tc>
          <w:tcPr>
            <w:tcW w:w="1440" w:type="dxa"/>
          </w:tcPr>
          <w:p w14:paraId="672BA0F1" w14:textId="774D2058" w:rsidR="000F23B5" w:rsidRPr="00C4413B" w:rsidRDefault="00353045" w:rsidP="000F23B5">
            <w:pPr>
              <w:spacing w:before="40" w:after="40"/>
              <w:jc w:val="both"/>
              <w:rPr>
                <w:b/>
              </w:rPr>
            </w:pPr>
            <w:r>
              <w:rPr>
                <w:b/>
              </w:rPr>
              <w:t>Bộ Tư pháp</w:t>
            </w:r>
          </w:p>
        </w:tc>
        <w:tc>
          <w:tcPr>
            <w:tcW w:w="5400" w:type="dxa"/>
          </w:tcPr>
          <w:p w14:paraId="0FCA3D15" w14:textId="16FBAD12" w:rsidR="000F23B5" w:rsidRPr="00941CD5" w:rsidRDefault="00353045" w:rsidP="000F23B5">
            <w:pPr>
              <w:spacing w:before="40" w:after="40"/>
              <w:jc w:val="both"/>
            </w:pPr>
            <w:r w:rsidRPr="00941CD5">
              <w:t xml:space="preserve">Về ngôn ngữ, kỹ thuật, dự thảo Nghị định cần được rà soát để bảo đảm phù với quy định tại Điều 7 </w:t>
            </w:r>
            <w:r w:rsidRPr="00941CD5">
              <w:rPr>
                <w:lang w:val="vi-VN"/>
              </w:rPr>
              <w:t xml:space="preserve">Luật </w:t>
            </w:r>
            <w:r w:rsidRPr="00941CD5">
              <w:t>BHVBQPPL;</w:t>
            </w:r>
            <w:r w:rsidRPr="00941CD5">
              <w:rPr>
                <w:lang w:val="vi-VN"/>
              </w:rPr>
              <w:t xml:space="preserve"> </w:t>
            </w:r>
            <w:r w:rsidRPr="00941CD5">
              <w:t xml:space="preserve">Chương V Nghị định số 78/2025/NĐ-CP. Ví dụ: Điều 2 dự thảo Nghị định quy định: </w:t>
            </w:r>
            <w:r w:rsidRPr="00941CD5">
              <w:rPr>
                <w:i/>
              </w:rPr>
              <w:t xml:space="preserve">“Quy định tại khoản 2 Điều 27, khoản 3 Điều 40… về tạm đình chỉ, tạm dừng giải quyết yêu cầu doanh nghiệp, hợp tác xã </w:t>
            </w:r>
            <w:r w:rsidRPr="00941CD5">
              <w:rPr>
                <w:i/>
                <w:u w:val="single"/>
              </w:rPr>
              <w:t>thực hiện nghĩa vụ về tài sản</w:t>
            </w:r>
            <w:r w:rsidRPr="00941CD5">
              <w:rPr>
                <w:i/>
              </w:rPr>
              <w:t>…”</w:t>
            </w:r>
            <w:r w:rsidRPr="00941CD5">
              <w:t xml:space="preserve">, tuy nhiên, khoản 2 Điều 27, khoản 3 Điều 40 Luật Phục hồi, phá sản năm 2025 giao Chính phủ quy định chi tiết nội </w:t>
            </w:r>
            <w:r w:rsidRPr="00941CD5">
              <w:lastRenderedPageBreak/>
              <w:t xml:space="preserve">dung về </w:t>
            </w:r>
            <w:r w:rsidRPr="00941CD5">
              <w:rPr>
                <w:i/>
              </w:rPr>
              <w:t xml:space="preserve">“tạm dừng việc </w:t>
            </w:r>
            <w:r w:rsidRPr="00941CD5">
              <w:rPr>
                <w:i/>
                <w:u w:val="single"/>
              </w:rPr>
              <w:t>xử lý tài sản bảo đảm</w:t>
            </w:r>
            <w:r w:rsidRPr="00941CD5">
              <w:rPr>
                <w:i/>
              </w:rPr>
              <w:t xml:space="preserve"> của doanh nghiệp, hợp tác xã đối với chủ nợ có bảo đảm, trừ trường hợp pháp luật có quy định khác”</w:t>
            </w:r>
            <w:r w:rsidRPr="00941CD5">
              <w:t>. Do đó, Điều 2 dự thảo Nghị định cần được chỉnh lý để đảm bảo quy định chính xác những nội dung được Luật giao, thống nhất với tên gọi và phạm vi điều chỉnh.</w:t>
            </w:r>
          </w:p>
        </w:tc>
        <w:tc>
          <w:tcPr>
            <w:tcW w:w="5392" w:type="dxa"/>
          </w:tcPr>
          <w:p w14:paraId="5C9607F3" w14:textId="6529C63E" w:rsidR="000F23B5" w:rsidRPr="005956E7" w:rsidRDefault="005956E7" w:rsidP="000F23B5">
            <w:pPr>
              <w:spacing w:before="40" w:after="40"/>
              <w:jc w:val="both"/>
            </w:pPr>
            <w:r w:rsidRPr="005956E7">
              <w:lastRenderedPageBreak/>
              <w:t>NHNN</w:t>
            </w:r>
            <w:r>
              <w:t xml:space="preserve"> đã tiếp thu và chỉnh sửa tại dự thảo Nghị định.</w:t>
            </w:r>
          </w:p>
        </w:tc>
      </w:tr>
      <w:tr w:rsidR="00F81AEF" w:rsidRPr="00C4413B" w14:paraId="5E2011E9" w14:textId="77777777" w:rsidTr="00334C3A">
        <w:tc>
          <w:tcPr>
            <w:tcW w:w="2335" w:type="dxa"/>
          </w:tcPr>
          <w:p w14:paraId="479D01B3" w14:textId="2F1D2DDE" w:rsidR="00F81AEF" w:rsidRPr="00C4413B" w:rsidRDefault="00F81AEF" w:rsidP="00F81AEF">
            <w:pPr>
              <w:spacing w:before="40" w:after="40"/>
              <w:jc w:val="both"/>
            </w:pPr>
          </w:p>
        </w:tc>
        <w:tc>
          <w:tcPr>
            <w:tcW w:w="1440" w:type="dxa"/>
          </w:tcPr>
          <w:p w14:paraId="6D571793" w14:textId="7F3BB7DB" w:rsidR="00F81AEF" w:rsidRPr="00C4413B" w:rsidRDefault="00A33496" w:rsidP="000F23B5">
            <w:pPr>
              <w:spacing w:before="40" w:after="40"/>
              <w:jc w:val="both"/>
              <w:rPr>
                <w:b/>
              </w:rPr>
            </w:pPr>
            <w:r>
              <w:rPr>
                <w:b/>
              </w:rPr>
              <w:t>Hiệp hội ngân hàng</w:t>
            </w:r>
          </w:p>
        </w:tc>
        <w:tc>
          <w:tcPr>
            <w:tcW w:w="5400" w:type="dxa"/>
          </w:tcPr>
          <w:p w14:paraId="2683267C" w14:textId="77777777" w:rsidR="00A33496" w:rsidRPr="00A33496" w:rsidRDefault="00A33496" w:rsidP="00A33496">
            <w:pPr>
              <w:spacing w:before="40" w:after="40"/>
              <w:jc w:val="both"/>
              <w:rPr>
                <w:b/>
                <w:i/>
              </w:rPr>
            </w:pPr>
            <w:r w:rsidRPr="00A33496">
              <w:t xml:space="preserve">Điều 2 Dự thảo hiện chỉ áp dụng đối với </w:t>
            </w:r>
            <w:r w:rsidRPr="00A33496">
              <w:rPr>
                <w:bCs/>
                <w:i/>
              </w:rPr>
              <w:t>“các hợp đồng phái sinh có thỏa thuận thanh toán ròng theo quy định tại Luật Các tổ chức tín dụng và hướng dẫn của Ngân hàng Nhà nước Việt Nam”</w:t>
            </w:r>
            <w:r w:rsidRPr="00A33496">
              <w:rPr>
                <w:i/>
              </w:rPr>
              <w:t>.</w:t>
            </w:r>
          </w:p>
          <w:p w14:paraId="413063A7" w14:textId="576D5425" w:rsidR="00F81AEF" w:rsidRPr="00C4413B" w:rsidRDefault="00A33496" w:rsidP="00F81AEF">
            <w:pPr>
              <w:spacing w:before="40" w:after="40"/>
              <w:jc w:val="both"/>
            </w:pPr>
            <w:r w:rsidRPr="00A33496">
              <w:t xml:space="preserve">Quy định này có phạm vi </w:t>
            </w:r>
            <w:r w:rsidRPr="00A33496">
              <w:rPr>
                <w:bCs/>
              </w:rPr>
              <w:t>hẹp</w:t>
            </w:r>
            <w:r w:rsidRPr="00A33496">
              <w:t xml:space="preserve">, chưa bao quát hết các giao dịch tài chính trên thị trường có sử dụng cơ chế thanh toán ròng, đồng thời có thể dẫn đến </w:t>
            </w:r>
            <w:r w:rsidRPr="00A33496">
              <w:rPr>
                <w:bCs/>
              </w:rPr>
              <w:t>phân mảnh trong áp dụng pháp luật</w:t>
            </w:r>
            <w:r w:rsidRPr="00A33496">
              <w:t xml:space="preserve"> giữa các lĩnh vực do các cơ quan quản lý khác nhau phụ trách. Do đó, đề nghị Cơ quan soạn thảo k</w:t>
            </w:r>
            <w:r w:rsidRPr="00A33496">
              <w:rPr>
                <w:bCs/>
              </w:rPr>
              <w:t>hông bó hẹp phạm vi áp dụng</w:t>
            </w:r>
            <w:r w:rsidRPr="00A33496">
              <w:t xml:space="preserve"> chỉ đối với hợp đồng phái sinh theo Luật Các tổ chức tín dụng  để bảo đảm tính linh hoạt và thống nhất trong thực tiễn áp dụng.</w:t>
            </w:r>
          </w:p>
        </w:tc>
        <w:tc>
          <w:tcPr>
            <w:tcW w:w="5392" w:type="dxa"/>
          </w:tcPr>
          <w:p w14:paraId="1B45C3E9" w14:textId="77777777" w:rsidR="00D20AC3" w:rsidRDefault="00A33496" w:rsidP="00E15690">
            <w:pPr>
              <w:spacing w:before="40" w:after="40"/>
              <w:jc w:val="both"/>
            </w:pPr>
            <w:r w:rsidRPr="005956E7">
              <w:t>Không tiếp thu</w:t>
            </w:r>
            <w:r w:rsidR="00D20AC3">
              <w:t>.</w:t>
            </w:r>
          </w:p>
          <w:p w14:paraId="0091CE9F" w14:textId="043ED9F3" w:rsidR="00D20AC3" w:rsidRPr="00D20AC3" w:rsidRDefault="00D20AC3" w:rsidP="00D20AC3">
            <w:pPr>
              <w:jc w:val="both"/>
            </w:pPr>
            <w:r w:rsidRPr="00D20AC3">
              <w:t xml:space="preserve">Trong quá trình xây dựng Nghị định, NHNN đã xin ý kiến Bộ Tài chính, Bộ Công thương (là các đơn vị quản lý các sản phẩm phái sinh khác) và xin ý kiến rộng rãi các đối tượng có liên quan; tuy nhiên, Bộ Tài chính, Bộ Công thương và các đối tượng có liên quan không đề xuất nội dung xây dựng tại dự thảo Nghị định. Theo đó, đối tượng quy định tại Nghị định chỉ gồm </w:t>
            </w:r>
            <w:r w:rsidR="006D5B69" w:rsidRPr="00030090">
              <w:t>hợp đồng phái sinh có điều khoản thanh toán ròng theo quy định tại Luật Các tổ chức tín dụng và hướng dẫn của NHNN</w:t>
            </w:r>
            <w:r w:rsidRPr="00D20AC3">
              <w:t>.</w:t>
            </w:r>
          </w:p>
          <w:p w14:paraId="786BE43E" w14:textId="40510DF9" w:rsidR="00C029F6" w:rsidRPr="00C4413B" w:rsidRDefault="00C029F6" w:rsidP="00E15690">
            <w:pPr>
              <w:spacing w:before="40" w:after="40"/>
              <w:jc w:val="both"/>
            </w:pPr>
          </w:p>
        </w:tc>
      </w:tr>
      <w:tr w:rsidR="00161A72" w:rsidRPr="00C4413B" w14:paraId="4A0C28A5" w14:textId="77777777" w:rsidTr="00CC382D">
        <w:trPr>
          <w:trHeight w:val="2361"/>
        </w:trPr>
        <w:tc>
          <w:tcPr>
            <w:tcW w:w="2335" w:type="dxa"/>
          </w:tcPr>
          <w:p w14:paraId="5F349714" w14:textId="77777777" w:rsidR="00161A72" w:rsidRPr="00C4413B" w:rsidRDefault="00161A72" w:rsidP="00F81AEF">
            <w:pPr>
              <w:spacing w:before="40" w:after="40"/>
              <w:jc w:val="both"/>
            </w:pPr>
          </w:p>
        </w:tc>
        <w:tc>
          <w:tcPr>
            <w:tcW w:w="1440" w:type="dxa"/>
          </w:tcPr>
          <w:p w14:paraId="7F94C02A" w14:textId="4F80120A" w:rsidR="00161A72" w:rsidRDefault="00161A72" w:rsidP="000F23B5">
            <w:pPr>
              <w:spacing w:before="40" w:after="40"/>
              <w:jc w:val="both"/>
              <w:rPr>
                <w:b/>
              </w:rPr>
            </w:pPr>
            <w:r>
              <w:rPr>
                <w:b/>
              </w:rPr>
              <w:t>TANDTC</w:t>
            </w:r>
          </w:p>
        </w:tc>
        <w:tc>
          <w:tcPr>
            <w:tcW w:w="5400" w:type="dxa"/>
          </w:tcPr>
          <w:p w14:paraId="089D0CAA" w14:textId="44CADD7F" w:rsidR="00161A72" w:rsidRPr="00A33496" w:rsidRDefault="00161A72" w:rsidP="00161A72">
            <w:pPr>
              <w:spacing w:before="40" w:after="40"/>
              <w:jc w:val="both"/>
            </w:pPr>
            <w:r>
              <w:t>Để đảm bảo tính khả thi, hiệu quả trong giải quyết các vụ việc phục hồi, phá sản cho các hợp đồng phái sinh có thỏa thuận thanh toán ròng, đề nghị dự thảo Nghị định quy định chi tiết về việc bù trừ cho các hợp đồng phái sinh có thỏa thuận thanh toán ròng, bao gồm các nội dung: thời điểm bù trừ, phương pháp bù trừ, chủ thể thực hiện việc bù trừ và chế độ báo cáo</w:t>
            </w:r>
            <w:r w:rsidR="001825AB">
              <w:t xml:space="preserve"> Thẩm phán</w:t>
            </w:r>
            <w:r>
              <w:t xml:space="preserve"> quá trình thực hiện và kết quả bù trừ cho Quản tài viên, Thẩm phán.</w:t>
            </w:r>
          </w:p>
        </w:tc>
        <w:tc>
          <w:tcPr>
            <w:tcW w:w="5392" w:type="dxa"/>
          </w:tcPr>
          <w:p w14:paraId="024D41FA" w14:textId="45D658E9" w:rsidR="0097218A" w:rsidRDefault="0097218A" w:rsidP="00E15690">
            <w:pPr>
              <w:spacing w:before="40" w:after="40"/>
              <w:jc w:val="both"/>
            </w:pPr>
            <w:r>
              <w:t>Tiếp thu một phần.</w:t>
            </w:r>
          </w:p>
          <w:p w14:paraId="5BFA4538" w14:textId="77777777" w:rsidR="00161A72" w:rsidRDefault="00161A72" w:rsidP="00E15690">
            <w:pPr>
              <w:spacing w:before="40" w:after="40"/>
              <w:jc w:val="both"/>
            </w:pPr>
            <w:r>
              <w:t>- Tại Thông tư 01 đã có quy định về thanh toán ròng, theo đó thời điểm bù trừ, phương pháp bù trừ và chủ thể thực hiện việc bù trừ đã được quy định tại Thông tư 01 nên không cần thiết phải hướng dẫn tại Nghị định.</w:t>
            </w:r>
          </w:p>
          <w:p w14:paraId="0BFB7D8C" w14:textId="7FDEBFCE" w:rsidR="00161A72" w:rsidRPr="005956E7" w:rsidRDefault="00161A72" w:rsidP="00A87407">
            <w:pPr>
              <w:spacing w:before="40" w:after="40"/>
              <w:jc w:val="both"/>
            </w:pPr>
            <w:r w:rsidRPr="00214784">
              <w:t xml:space="preserve">- </w:t>
            </w:r>
            <w:r w:rsidR="000979D9" w:rsidRPr="00214784">
              <w:t>Đối với quy định liên quan đến trường hợp không phải báo cáo Thẩm phán trước khi thực hiện nghĩa vụ bù trừ, NHNN đã tiếp thu ý kiến của TANDTC và chỉnh sửa tại Điều 6 dự thảo Nghị định</w:t>
            </w:r>
            <w:r w:rsidRPr="00214784">
              <w:t>.</w:t>
            </w:r>
          </w:p>
        </w:tc>
      </w:tr>
      <w:tr w:rsidR="00542FC9" w:rsidRPr="00C4413B" w14:paraId="368D6482" w14:textId="77777777" w:rsidTr="00334C3A">
        <w:tc>
          <w:tcPr>
            <w:tcW w:w="2335" w:type="dxa"/>
          </w:tcPr>
          <w:p w14:paraId="62295F53" w14:textId="2B3E5B66" w:rsidR="00542FC9" w:rsidRPr="00C4413B" w:rsidRDefault="00542FC9" w:rsidP="00F81AEF">
            <w:pPr>
              <w:spacing w:before="40" w:after="40"/>
              <w:jc w:val="both"/>
            </w:pPr>
          </w:p>
        </w:tc>
        <w:tc>
          <w:tcPr>
            <w:tcW w:w="1440" w:type="dxa"/>
          </w:tcPr>
          <w:p w14:paraId="683ADBC0" w14:textId="1F9AB30C" w:rsidR="00542FC9" w:rsidRDefault="0026002C" w:rsidP="000F23B5">
            <w:pPr>
              <w:spacing w:before="40" w:after="40"/>
              <w:jc w:val="both"/>
              <w:rPr>
                <w:b/>
              </w:rPr>
            </w:pPr>
            <w:r>
              <w:rPr>
                <w:b/>
              </w:rPr>
              <w:t>Nhóm Công tác ngân hàng (</w:t>
            </w:r>
            <w:r w:rsidR="00542FC9">
              <w:rPr>
                <w:b/>
              </w:rPr>
              <w:t>BWG</w:t>
            </w:r>
            <w:r>
              <w:rPr>
                <w:b/>
              </w:rPr>
              <w:t>)</w:t>
            </w:r>
          </w:p>
        </w:tc>
        <w:tc>
          <w:tcPr>
            <w:tcW w:w="5400" w:type="dxa"/>
          </w:tcPr>
          <w:p w14:paraId="70D1D226" w14:textId="65673519" w:rsidR="00542FC9" w:rsidRDefault="005816CA" w:rsidP="00542FC9">
            <w:pPr>
              <w:spacing w:before="40" w:after="40"/>
              <w:jc w:val="both"/>
            </w:pPr>
            <w:r w:rsidRPr="005816CA">
              <w:rPr>
                <w:b/>
              </w:rPr>
              <w:t xml:space="preserve">1. </w:t>
            </w:r>
            <w:r w:rsidR="009645A3" w:rsidRPr="005816CA">
              <w:rPr>
                <w:b/>
              </w:rPr>
              <w:t>Đề xuất sửa:</w:t>
            </w:r>
            <w:r w:rsidR="009645A3">
              <w:t xml:space="preserve"> </w:t>
            </w:r>
            <w:r w:rsidR="009645A3" w:rsidRPr="00E74D0C">
              <w:t>Quy định tại khoản 2 Điều 27 và khoản 3 Điều 40, điểm c khoản 1 Điều 49, khoản 1 và khoản 5 Điều 51, khoản 1 Điều 53 về tạm đình chỉ, tạm dừng giải quyết yêu cầu doanh nghiệp, hợp tác xã thực hiện nghĩa vụ về tài sản, giao dịch bị coi là vô hiệu, tạm đình chỉ, đình chỉ thực hiện hợp đồng đang có hiệu lực, bù trừ nghĩa vụ của Luật Phục hồi, phá sản không áp dụng đối với các h</w:t>
            </w:r>
            <w:r w:rsidR="009645A3" w:rsidRPr="00E74D0C">
              <w:rPr>
                <w:bCs/>
                <w:iCs/>
              </w:rPr>
              <w:t xml:space="preserve">ợp đồng có thỏa thuận thanh toán ròng </w:t>
            </w:r>
            <w:r w:rsidR="009645A3" w:rsidRPr="00E74D0C">
              <w:rPr>
                <w:strike/>
              </w:rPr>
              <w:t>theo quy định tại Luật Các tổ chức tín dụng và hướng dẫn của Ngân hàng Nhà nước Việt Nam</w:t>
            </w:r>
            <w:r w:rsidR="009645A3" w:rsidRPr="00E74D0C">
              <w:t>. Việc thanh toán khoản nợ ròng sau khi bù trừ đối với các hợp đồng phái sinh có thỏa thuận thanh toán ròng được thực hiện theo quy định tại Luật Phục hồi, phá sản</w:t>
            </w:r>
          </w:p>
          <w:p w14:paraId="5DE8BE28" w14:textId="2EF6A29B" w:rsidR="009645A3" w:rsidRPr="009645A3" w:rsidRDefault="009645A3" w:rsidP="009645A3">
            <w:pPr>
              <w:spacing w:before="40" w:after="40"/>
              <w:jc w:val="both"/>
            </w:pPr>
            <w:r w:rsidRPr="005816CA">
              <w:rPr>
                <w:b/>
              </w:rPr>
              <w:t>Cơ sở đề xuất:</w:t>
            </w:r>
            <w:r>
              <w:t xml:space="preserve"> </w:t>
            </w:r>
            <w:r w:rsidRPr="009645A3">
              <w:t>Thiết kế này của dự thảo Nghị định sẽ tạo sự phân mảnh, không thống nhất trong hướng dẫn về thanh toán ròng giữa NHNN</w:t>
            </w:r>
            <w:r w:rsidRPr="009645A3">
              <w:rPr>
                <w:lang w:val="vi-VN"/>
              </w:rPr>
              <w:t>, Bộ Tài chính và Bộ Công thương</w:t>
            </w:r>
            <w:r w:rsidRPr="009645A3">
              <w:t xml:space="preserve">. </w:t>
            </w:r>
          </w:p>
          <w:p w14:paraId="20A5102F" w14:textId="19AE0D75" w:rsidR="00AB7824" w:rsidRPr="00542FC9" w:rsidRDefault="00AB7824" w:rsidP="00AB7824">
            <w:pPr>
              <w:spacing w:before="40" w:after="40"/>
              <w:jc w:val="both"/>
              <w:rPr>
                <w:bCs/>
              </w:rPr>
            </w:pPr>
            <w:r w:rsidRPr="00F27925">
              <w:rPr>
                <w:b/>
              </w:rPr>
              <w:t xml:space="preserve">2. </w:t>
            </w:r>
            <w:r w:rsidRPr="00F27925">
              <w:rPr>
                <w:bCs/>
              </w:rPr>
              <w:t>Bổ</w:t>
            </w:r>
            <w:r w:rsidRPr="00542FC9">
              <w:rPr>
                <w:bCs/>
              </w:rPr>
              <w:t xml:space="preserve"> sung Điều 2 về như sau:</w:t>
            </w:r>
          </w:p>
          <w:p w14:paraId="776A9EF5" w14:textId="77777777" w:rsidR="00AB7824" w:rsidRPr="00542FC9" w:rsidRDefault="00AB7824" w:rsidP="00AB7824">
            <w:pPr>
              <w:spacing w:before="40" w:after="40"/>
              <w:jc w:val="both"/>
              <w:rPr>
                <w:bCs/>
                <w:i/>
                <w:iCs/>
              </w:rPr>
            </w:pPr>
            <w:r w:rsidRPr="00542FC9">
              <w:rPr>
                <w:bCs/>
                <w:i/>
                <w:iCs/>
              </w:rPr>
              <w:t xml:space="preserve">“(a) Hợp đồng có thỏa thuận thanh toán ròng </w:t>
            </w:r>
            <w:r w:rsidRPr="00542FC9">
              <w:rPr>
                <w:bCs/>
                <w:i/>
                <w:iCs/>
                <w:u w:val="single"/>
              </w:rPr>
              <w:t>là hợp đồng khung và các thỏa thuận đính kèm</w:t>
            </w:r>
            <w:r w:rsidRPr="00542FC9">
              <w:rPr>
                <w:bCs/>
                <w:i/>
                <w:iCs/>
              </w:rPr>
              <w:t>, trong đó có cơ chế chấm dứt giao dịch tài chính và giao dịch bảo đảm bằng tiền liên quan tại hoặc trước thời điểm đến hạn và thực hiện bù trừ các khoản phải thu hoặc phải trả khi chấm dứt để thanh toán một khoản ròng sau khi bù trừ.</w:t>
            </w:r>
          </w:p>
          <w:p w14:paraId="50610C92" w14:textId="77777777" w:rsidR="00AB7824" w:rsidRPr="00542FC9" w:rsidRDefault="00AB7824" w:rsidP="00AB7824">
            <w:pPr>
              <w:spacing w:before="40" w:after="40"/>
              <w:jc w:val="both"/>
              <w:rPr>
                <w:b/>
                <w:i/>
                <w:iCs/>
              </w:rPr>
            </w:pPr>
            <w:r w:rsidRPr="00542FC9">
              <w:rPr>
                <w:b/>
                <w:i/>
                <w:iCs/>
              </w:rPr>
              <w:t>(b) Phương án 1:</w:t>
            </w:r>
          </w:p>
          <w:p w14:paraId="362C28B6" w14:textId="77777777" w:rsidR="00AB7824" w:rsidRPr="00542FC9" w:rsidRDefault="00AB7824" w:rsidP="00AB7824">
            <w:pPr>
              <w:spacing w:before="40" w:after="40"/>
              <w:jc w:val="both"/>
              <w:rPr>
                <w:bCs/>
                <w:i/>
                <w:iCs/>
              </w:rPr>
            </w:pPr>
            <w:r w:rsidRPr="00542FC9">
              <w:rPr>
                <w:bCs/>
                <w:i/>
                <w:iCs/>
              </w:rPr>
              <w:t xml:space="preserve">Giao dịch tài chính thuộc hợp đồng có thỏa thuận thanh toán ròng </w:t>
            </w:r>
            <w:r w:rsidRPr="00542FC9">
              <w:rPr>
                <w:bCs/>
                <w:i/>
                <w:iCs/>
                <w:u w:val="single"/>
              </w:rPr>
              <w:t xml:space="preserve">bao gồm giao dịch phái sinh, giao dịch ngoại tệ, [điền các giao dịch khác mà Bộ Tài </w:t>
            </w:r>
            <w:r w:rsidRPr="00542FC9">
              <w:rPr>
                <w:bCs/>
                <w:i/>
                <w:iCs/>
                <w:u w:val="single"/>
              </w:rPr>
              <w:lastRenderedPageBreak/>
              <w:t>chính hoặc Bộ Công thương cho phép] và các giao dịch bảo đảm liên quan</w:t>
            </w:r>
            <w:r w:rsidRPr="00542FC9">
              <w:rPr>
                <w:bCs/>
                <w:i/>
                <w:iCs/>
              </w:rPr>
              <w:t>.</w:t>
            </w:r>
          </w:p>
          <w:p w14:paraId="5722A8A1" w14:textId="77777777" w:rsidR="00AB7824" w:rsidRPr="00542FC9" w:rsidRDefault="00AB7824" w:rsidP="00AB7824">
            <w:pPr>
              <w:spacing w:before="40" w:after="40"/>
              <w:jc w:val="both"/>
              <w:rPr>
                <w:b/>
                <w:i/>
                <w:iCs/>
              </w:rPr>
            </w:pPr>
            <w:r w:rsidRPr="00542FC9">
              <w:rPr>
                <w:b/>
                <w:i/>
                <w:iCs/>
              </w:rPr>
              <w:t>(b) Phương án 2:</w:t>
            </w:r>
          </w:p>
          <w:p w14:paraId="67AC1282" w14:textId="77777777" w:rsidR="00AB7824" w:rsidRDefault="00AB7824" w:rsidP="00AB7824">
            <w:pPr>
              <w:spacing w:before="40" w:after="40"/>
              <w:jc w:val="both"/>
              <w:rPr>
                <w:bCs/>
                <w:i/>
                <w:iCs/>
              </w:rPr>
            </w:pPr>
            <w:r w:rsidRPr="00542FC9">
              <w:rPr>
                <w:bCs/>
                <w:i/>
                <w:iCs/>
              </w:rPr>
              <w:t xml:space="preserve">Việc xác </w:t>
            </w:r>
            <w:bookmarkStart w:id="3" w:name="_Hlk220949539"/>
            <w:r w:rsidRPr="00542FC9">
              <w:rPr>
                <w:bCs/>
                <w:i/>
                <w:iCs/>
              </w:rPr>
              <w:t xml:space="preserve">định giao dịch tài chính thuộc </w:t>
            </w:r>
            <w:bookmarkEnd w:id="3"/>
            <w:r w:rsidRPr="00542FC9">
              <w:rPr>
                <w:bCs/>
                <w:i/>
                <w:iCs/>
              </w:rPr>
              <w:t>hợp đồng có thỏa thuận thanh toán ròng thực hiện theo quy định của pháp luật chuyên ngành.</w:t>
            </w:r>
          </w:p>
          <w:p w14:paraId="4F4F0641" w14:textId="77777777" w:rsidR="00AB7824" w:rsidRPr="00542FC9" w:rsidRDefault="00AB7824" w:rsidP="00AB7824">
            <w:pPr>
              <w:spacing w:before="40" w:after="40"/>
              <w:jc w:val="both"/>
              <w:rPr>
                <w:bCs/>
                <w:iCs/>
              </w:rPr>
            </w:pPr>
            <w:r w:rsidRPr="00542FC9">
              <w:rPr>
                <w:bCs/>
                <w:iCs/>
              </w:rPr>
              <w:t>Cơ sở đề xuất:</w:t>
            </w:r>
            <w:r w:rsidRPr="00542FC9">
              <w:rPr>
                <w:rFonts w:eastAsiaTheme="minorHAnsi"/>
                <w:kern w:val="2"/>
                <w14:ligatures w14:val="standardContextual"/>
              </w:rPr>
              <w:t xml:space="preserve"> </w:t>
            </w:r>
            <w:r w:rsidRPr="00542FC9">
              <w:rPr>
                <w:bCs/>
                <w:iCs/>
              </w:rPr>
              <w:t>Để tháo gỡ các vấn đề kỹ thuật sau:</w:t>
            </w:r>
          </w:p>
          <w:p w14:paraId="25AFBD36" w14:textId="77777777" w:rsidR="00AB7824" w:rsidRPr="00542FC9" w:rsidRDefault="00AB7824" w:rsidP="00AB7824">
            <w:pPr>
              <w:spacing w:before="40" w:after="40"/>
              <w:jc w:val="both"/>
              <w:rPr>
                <w:bCs/>
                <w:iCs/>
                <w:lang w:val="vi-VN"/>
              </w:rPr>
            </w:pPr>
            <w:r w:rsidRPr="00542FC9">
              <w:rPr>
                <w:bCs/>
                <w:iCs/>
              </w:rPr>
              <w:t xml:space="preserve">(1) </w:t>
            </w:r>
            <w:r w:rsidRPr="00542FC9">
              <w:rPr>
                <w:bCs/>
                <w:iCs/>
                <w:lang w:val="vi-VN"/>
              </w:rPr>
              <w:t xml:space="preserve">Cách thiết kế của dự thảo Nghị định hiện tại sẽ chỉ thực hiện được thanh toán ròng cho cùng </w:t>
            </w:r>
            <w:r w:rsidRPr="00542FC9">
              <w:rPr>
                <w:bCs/>
                <w:iCs/>
              </w:rPr>
              <w:t>một</w:t>
            </w:r>
            <w:r w:rsidRPr="00542FC9">
              <w:rPr>
                <w:bCs/>
                <w:iCs/>
                <w:lang w:val="vi-VN"/>
              </w:rPr>
              <w:t xml:space="preserve"> loại sản phẩm (</w:t>
            </w:r>
            <w:r w:rsidRPr="00542FC9">
              <w:rPr>
                <w:bCs/>
                <w:iCs/>
              </w:rPr>
              <w:t xml:space="preserve">hiện tại là </w:t>
            </w:r>
            <w:r w:rsidRPr="00542FC9">
              <w:rPr>
                <w:bCs/>
                <w:iCs/>
                <w:lang w:val="vi-VN"/>
              </w:rPr>
              <w:t>giữa</w:t>
            </w:r>
            <w:r w:rsidRPr="00542FC9">
              <w:rPr>
                <w:bCs/>
                <w:iCs/>
              </w:rPr>
              <w:t xml:space="preserve"> các</w:t>
            </w:r>
            <w:r w:rsidRPr="00542FC9">
              <w:rPr>
                <w:bCs/>
                <w:iCs/>
                <w:lang w:val="vi-VN"/>
              </w:rPr>
              <w:t xml:space="preserve"> hợp đồng phái sinh lãi suất với nhau). Trong khi thông lệ quốc tế cho áp dụng chéo giữa các sản phẩm tài chính, và ít nhất sẽ mở rộng cho cả giao dịch ngoại tệ và bảo đảm bằng tiền mặt. </w:t>
            </w:r>
            <w:r w:rsidRPr="00542FC9">
              <w:rPr>
                <w:b/>
                <w:bCs/>
                <w:iCs/>
                <w:u w:val="single"/>
                <w:lang w:val="vi-VN"/>
              </w:rPr>
              <w:t>Không quốc gia nào chỉ cho phép thanh toán ròng phân mảnh cho từng loại sản phẩm</w:t>
            </w:r>
            <w:r w:rsidRPr="00542FC9">
              <w:rPr>
                <w:bCs/>
                <w:iCs/>
                <w:lang w:val="vi-VN"/>
              </w:rPr>
              <w:t>. Việc áp dụng phân mảnh sẽ ảnh hưởng tới hiệu quả của cơ chế thanh toán ròng trong các giao dịch tài chính.</w:t>
            </w:r>
          </w:p>
          <w:p w14:paraId="61FA9309" w14:textId="77777777" w:rsidR="00AB7824" w:rsidRPr="00542FC9" w:rsidRDefault="00AB7824" w:rsidP="00AB7824">
            <w:pPr>
              <w:spacing w:before="40" w:after="40"/>
              <w:jc w:val="both"/>
              <w:rPr>
                <w:b/>
                <w:bCs/>
                <w:iCs/>
                <w:u w:val="single"/>
                <w:lang w:val="vi-VN"/>
              </w:rPr>
            </w:pPr>
            <w:r w:rsidRPr="00542FC9">
              <w:rPr>
                <w:b/>
                <w:bCs/>
                <w:iCs/>
                <w:lang w:val="vi-VN"/>
              </w:rPr>
              <w:t xml:space="preserve">(2) </w:t>
            </w:r>
            <w:r w:rsidRPr="00542FC9">
              <w:rPr>
                <w:rFonts w:hint="eastAsia"/>
                <w:bCs/>
                <w:iCs/>
                <w:lang w:val="vi-VN"/>
              </w:rPr>
              <w:t>Đ</w:t>
            </w:r>
            <w:r w:rsidRPr="00542FC9">
              <w:rPr>
                <w:bCs/>
                <w:iCs/>
                <w:lang w:val="vi-VN"/>
              </w:rPr>
              <w:t xml:space="preserve">iều 51 của Luật Phá sản, Phục hồi đã cho phép Chính phủ hướng dẫn các hợp đồng không bị đình chỉ. Hiện dự thảo đã loại trừ cho "hợp đồng phái sinh", song trên thực tiễn thanh toán ròng được thỏa thuận dưới dạng hợp đồng khung. Vì vậy, Nghị định cần được bổ sung nội dung về hợp đồng khung vào phạm vi loại trừ.  Tham khảo thông lệ quốc tế (luật mẫu của ISDA và một số nước như Trung Quốc, Ả Rập Xê-út, Ấn Độ, Indonesia, Malaysia, Hàn Quốc, Singapore, Hong Kong, Mỹ), thanh toán ròng dưới dạng hợp đồng khung được loại trừ, không bị tách ra thành các hợp đồng riêng rẽ để giảm rủi ro bị đình chỉ. </w:t>
            </w:r>
          </w:p>
          <w:p w14:paraId="64E7B8FA" w14:textId="77777777" w:rsidR="00AB7824" w:rsidRPr="00542FC9" w:rsidRDefault="00AB7824" w:rsidP="00AB7824">
            <w:pPr>
              <w:spacing w:before="40" w:after="40"/>
              <w:jc w:val="both"/>
              <w:rPr>
                <w:bCs/>
                <w:iCs/>
                <w:lang w:val="vi-VN"/>
              </w:rPr>
            </w:pPr>
            <w:r w:rsidRPr="00542FC9">
              <w:rPr>
                <w:bCs/>
                <w:iCs/>
                <w:lang w:val="vi-VN"/>
              </w:rPr>
              <w:lastRenderedPageBreak/>
              <w:t>(3) Để tránh việc lạm dụng thanh toán ròng cho giao dịch không cần thiết, nghị định có thể xác định đầy đủ các sản phẩm được phép tại Nghị định (Phương án 1) hoặc quy định việc xác định loại giao dịch tài chính được áp dụng thanh toán ròng là theo pháp luật chuyên ngành (Phương án 2). Nghị định không nên bó hẹp ở sản phẩm phái sinh lãi suất. Hiện tại, nhiều nước công nhận thanh toán ròng đều ít nhất cho phép phái sinh lãi suất, giao dịch ngoại tệ và bảo đảm bằng tiền. Đây cũng là các sản phẩm đã rất phổ biến tại thị trường Việt Nam.</w:t>
            </w:r>
          </w:p>
          <w:p w14:paraId="350D4478" w14:textId="28B04090" w:rsidR="00AB7824" w:rsidRPr="00542FC9" w:rsidRDefault="00AB7824" w:rsidP="00AB7824">
            <w:pPr>
              <w:spacing w:before="40" w:after="40"/>
              <w:jc w:val="both"/>
            </w:pPr>
            <w:r w:rsidRPr="00542FC9">
              <w:rPr>
                <w:bCs/>
                <w:iCs/>
                <w:lang w:val="vi-VN"/>
              </w:rPr>
              <w:t>BWG đề xuất Phương án 1 là phương án ưu tiên, nhằm nhanh chóng gỡ vướng cho thị trường. Tuy nhiên, nếu không kịp thời gian ban hành Nghị định, đề xuất NHNN cân nhắc Phương án 2.</w:t>
            </w:r>
          </w:p>
        </w:tc>
        <w:tc>
          <w:tcPr>
            <w:tcW w:w="5392" w:type="dxa"/>
          </w:tcPr>
          <w:p w14:paraId="7D76A243" w14:textId="7A3BDED2" w:rsidR="00212C5B" w:rsidRDefault="00212C5B" w:rsidP="00052234">
            <w:pPr>
              <w:spacing w:before="40" w:after="40"/>
              <w:jc w:val="both"/>
            </w:pPr>
            <w:r w:rsidRPr="005956E7">
              <w:lastRenderedPageBreak/>
              <w:t>Không tiếp thu</w:t>
            </w:r>
            <w:r w:rsidR="00266DA7">
              <w:t>.</w:t>
            </w:r>
          </w:p>
          <w:p w14:paraId="2834BBF4" w14:textId="062976E2" w:rsidR="00B8346B" w:rsidRPr="00D20AC3" w:rsidRDefault="00DD3AFA" w:rsidP="00B8346B">
            <w:pPr>
              <w:jc w:val="both"/>
            </w:pPr>
            <w:r>
              <w:t xml:space="preserve">1. </w:t>
            </w:r>
            <w:r w:rsidR="00B8346B" w:rsidRPr="00D20AC3">
              <w:t xml:space="preserve">Trong quá trình xây dựng Nghị định, NHNN đã xin ý kiến Bộ Tài chính, Bộ Công thương (là các đơn vị quản lý các sản phẩm phái sinh khác) và xin ý kiến rộng rãi các đối tượng có liên quan; tuy nhiên, Bộ Tài chính, Bộ Công thương và các đối tượng có liên quan không đề xuất nội dung xây dựng tại dự thảo Nghị định. </w:t>
            </w:r>
            <w:r w:rsidR="006F7D05" w:rsidRPr="00D20AC3">
              <w:t xml:space="preserve">Theo đó, đối tượng quy định tại Nghị định chỉ gồm </w:t>
            </w:r>
            <w:r w:rsidR="006F7D05" w:rsidRPr="00030090">
              <w:t>hợp đồng phái sinh có điều khoản thanh toán ròng theo quy định tại Luật Các tổ chức tín dụng và hướng dẫn của NHNN</w:t>
            </w:r>
            <w:r w:rsidR="006F7D05">
              <w:t>.</w:t>
            </w:r>
          </w:p>
          <w:p w14:paraId="3C1DDF27" w14:textId="17EE8AC4" w:rsidR="00212C5B" w:rsidRDefault="0085056F" w:rsidP="00B8346B">
            <w:pPr>
              <w:spacing w:before="40" w:after="40"/>
              <w:jc w:val="both"/>
            </w:pPr>
            <w:r>
              <w:t xml:space="preserve">2. </w:t>
            </w:r>
            <w:r w:rsidR="00B8346B">
              <w:t>R</w:t>
            </w:r>
            <w:r w:rsidR="00212C5B">
              <w:t>à soát các sản phẩm phái sinh theo quy định tại Luật Các TCTD và hướng dẫn của NHNN thì hiện n</w:t>
            </w:r>
            <w:r w:rsidR="00B8346B">
              <w:t>a</w:t>
            </w:r>
            <w:r w:rsidR="00212C5B">
              <w:t xml:space="preserve">y có 3 loại phái sinh, gồm phái sinh lãi suất, phái sinh giá cả hàng hóa và giao dịch ngoại tệ. Tuy nhiên, </w:t>
            </w:r>
            <w:r>
              <w:t xml:space="preserve">hiện nay </w:t>
            </w:r>
            <w:r w:rsidR="00212C5B">
              <w:t>chỉ có phái sinh lãi suất</w:t>
            </w:r>
            <w:r w:rsidR="00B8346B">
              <w:t xml:space="preserve"> quy định tại Thông tư 01</w:t>
            </w:r>
            <w:r w:rsidR="00212C5B">
              <w:t xml:space="preserve"> được phép thực hiện thanh toán ròng. Theo đó, Nghị định chỉ quy định thực hiện loại trừ tại Luật Phục hồi, phá sản đối với các sản phẩm phái sinh đã được cho phép thực hiện thanh toán ròng</w:t>
            </w:r>
            <w:r>
              <w:t>.</w:t>
            </w:r>
            <w:r w:rsidR="00212C5B">
              <w:t xml:space="preserve"> </w:t>
            </w:r>
          </w:p>
          <w:p w14:paraId="1B7DA8F2" w14:textId="29116B76" w:rsidR="00B8346B" w:rsidRDefault="00B8346B" w:rsidP="00B8346B">
            <w:pPr>
              <w:spacing w:before="40" w:after="40"/>
              <w:jc w:val="both"/>
            </w:pPr>
            <w:r>
              <w:t xml:space="preserve">Đối với kiến nghị định nghĩa hợp đồng có thỏa thuận thanh toán ròng là hợp đồng khung và các thỏa thuận đính kèm: Tại Điều 14 Thông tư 01 về hợp đồng phái sinh lãi suất đã quy định các bên có thể thỏa thuận áp dụng Hợp đồng mẫu của Hiệp hội Hoán đổi và Phái sinh quốc tế (hợp đồng mẫu của Hiện hội Hoán đổi và Phái sinh quốc tế gồm hợp đồng khung và các thỏa thuận đính kém). </w:t>
            </w:r>
            <w:r w:rsidR="0020143A" w:rsidRPr="00D20AC3">
              <w:t xml:space="preserve">Theo đó, </w:t>
            </w:r>
            <w:r w:rsidR="006F7D05">
              <w:t xml:space="preserve">đã có quy định này tại </w:t>
            </w:r>
            <w:r w:rsidR="006F7D05">
              <w:lastRenderedPageBreak/>
              <w:t>Thông tư 01 nên không cần thiết quy định tại Nghị định</w:t>
            </w:r>
            <w:r w:rsidR="0020143A" w:rsidRPr="00D20AC3">
              <w:t>.</w:t>
            </w:r>
            <w:r>
              <w:t xml:space="preserve"> </w:t>
            </w:r>
          </w:p>
          <w:p w14:paraId="590882C3" w14:textId="62C78672" w:rsidR="00B8346B" w:rsidRPr="00A33496" w:rsidRDefault="00B8346B" w:rsidP="00B8346B">
            <w:pPr>
              <w:spacing w:before="40" w:after="40"/>
              <w:jc w:val="both"/>
              <w:rPr>
                <w:b/>
              </w:rPr>
            </w:pPr>
          </w:p>
        </w:tc>
      </w:tr>
      <w:tr w:rsidR="00F81AEF" w:rsidRPr="00C4413B" w14:paraId="30EF83F4" w14:textId="77777777" w:rsidTr="00334C3A">
        <w:tc>
          <w:tcPr>
            <w:tcW w:w="2335" w:type="dxa"/>
          </w:tcPr>
          <w:p w14:paraId="7C4FBA3F" w14:textId="77777777" w:rsidR="00DD3AFA" w:rsidRDefault="00DD3AFA" w:rsidP="00052234">
            <w:pPr>
              <w:spacing w:before="40" w:after="40"/>
              <w:jc w:val="both"/>
              <w:rPr>
                <w:b/>
              </w:rPr>
            </w:pPr>
            <w:r w:rsidRPr="006F3E1A">
              <w:rPr>
                <w:b/>
              </w:rPr>
              <w:lastRenderedPageBreak/>
              <w:t>Điều 3</w:t>
            </w:r>
          </w:p>
          <w:p w14:paraId="2A4F9C2E" w14:textId="19A9068A" w:rsidR="00F81AEF" w:rsidRPr="006F3E1A" w:rsidRDefault="00097495" w:rsidP="00052234">
            <w:pPr>
              <w:spacing w:before="40" w:after="40"/>
              <w:jc w:val="both"/>
              <w:rPr>
                <w:b/>
              </w:rPr>
            </w:pPr>
            <w:r w:rsidRPr="00CE7C7F">
              <w:rPr>
                <w:bCs/>
                <w:szCs w:val="28"/>
              </w:rPr>
              <w:t xml:space="preserve">Quy </w:t>
            </w:r>
            <w:r>
              <w:rPr>
                <w:bCs/>
                <w:szCs w:val="28"/>
              </w:rPr>
              <w:t xml:space="preserve">định về loại trừ đối với các </w:t>
            </w:r>
            <w:r>
              <w:t>hợp đồng phái sinh có thỏa thuận thanh toán ròng</w:t>
            </w:r>
            <w:r w:rsidRPr="00CE7C7F">
              <w:rPr>
                <w:bCs/>
              </w:rPr>
              <w:t xml:space="preserve"> </w:t>
            </w:r>
            <w:r>
              <w:rPr>
                <w:bCs/>
              </w:rPr>
              <w:t>theo quy định của các Bộ, ngành khác</w:t>
            </w:r>
          </w:p>
        </w:tc>
        <w:tc>
          <w:tcPr>
            <w:tcW w:w="1440" w:type="dxa"/>
          </w:tcPr>
          <w:p w14:paraId="4B275ABD" w14:textId="7F1C93BF" w:rsidR="00F81AEF" w:rsidRPr="00C4413B" w:rsidRDefault="00AC35D5" w:rsidP="00052234">
            <w:pPr>
              <w:spacing w:before="40" w:after="40"/>
              <w:jc w:val="both"/>
              <w:rPr>
                <w:b/>
              </w:rPr>
            </w:pPr>
            <w:r>
              <w:rPr>
                <w:b/>
              </w:rPr>
              <w:t>Hiệp hội ngân hàng</w:t>
            </w:r>
          </w:p>
        </w:tc>
        <w:tc>
          <w:tcPr>
            <w:tcW w:w="5400" w:type="dxa"/>
          </w:tcPr>
          <w:p w14:paraId="4D9B07A7" w14:textId="36AAE505" w:rsidR="00F81AEF" w:rsidRPr="00C4413B" w:rsidRDefault="00AC35D5" w:rsidP="00052234">
            <w:pPr>
              <w:spacing w:before="40" w:after="40"/>
              <w:jc w:val="both"/>
            </w:pPr>
            <w:r w:rsidRPr="00AC35D5">
              <w:t xml:space="preserve">Điều 3 Dự thảo hiện đang để trống nội dung và đề nghị các Bộ, ngành cho ý kiến. Trong khi đó, Điều này có vai trò quan trọng trong việc </w:t>
            </w:r>
            <w:r w:rsidRPr="00AC35D5">
              <w:rPr>
                <w:bCs/>
              </w:rPr>
              <w:t>xác định cơ chế loại trừ áp dụng Luật Phục hồi, phá sản 2025</w:t>
            </w:r>
            <w:r w:rsidRPr="00AC35D5">
              <w:t xml:space="preserve"> đối với các hợp đồng có thỏa thuận thanh toán ròng ngoài phạm vi Luật Các tổ chức tín dụng. Do đó, đề nghị Cơ quan soạn thảo b</w:t>
            </w:r>
            <w:r w:rsidRPr="00AC35D5">
              <w:rPr>
                <w:bCs/>
              </w:rPr>
              <w:t>ổ sung nội dung cụ thể tại Điều 3</w:t>
            </w:r>
            <w:r w:rsidRPr="00AC35D5">
              <w:t xml:space="preserve">, theo đó đề nghị không nên quy định chung chung và dẫn chiếu đến các Bộ, ngành khác hướng dẫn. Nếu các Bộ, ngành khác có quản lý các giao dịch phái sinh được loại trừ thì nên liệt kê rõ ràng như tại Điều 2. Đồng thời, làm rõ nguyên tắc áp dụng đối với các hợp đồng có thỏa thuận thanh toán ròng thuộc phạm vi quản lý của các </w:t>
            </w:r>
            <w:r w:rsidRPr="00AC35D5">
              <w:lastRenderedPageBreak/>
              <w:t>Bộ, ngành khác nhằm bảo đảm tính đầy đủ và khả thi của Nghị định.</w:t>
            </w:r>
          </w:p>
        </w:tc>
        <w:tc>
          <w:tcPr>
            <w:tcW w:w="5392" w:type="dxa"/>
          </w:tcPr>
          <w:p w14:paraId="4F815D92" w14:textId="2BFAF8B2" w:rsidR="00F81AEF" w:rsidRPr="00C4413B" w:rsidRDefault="002A3EEA" w:rsidP="00DD3AFA">
            <w:pPr>
              <w:spacing w:before="40" w:after="40"/>
              <w:jc w:val="both"/>
            </w:pPr>
            <w:r>
              <w:lastRenderedPageBreak/>
              <w:t>Do Bộ Công thương</w:t>
            </w:r>
            <w:r w:rsidR="001C341B">
              <w:t>,</w:t>
            </w:r>
            <w:r>
              <w:t xml:space="preserve"> Bộ Tài chính </w:t>
            </w:r>
            <w:r w:rsidR="001C341B">
              <w:t xml:space="preserve">và các đơn vị có liên quan </w:t>
            </w:r>
            <w:r>
              <w:t>không đề xuất</w:t>
            </w:r>
            <w:r w:rsidR="001C341B" w:rsidRPr="001C341B">
              <w:t xml:space="preserve"> nội dung xây dựng tại dự thảo Nghị định</w:t>
            </w:r>
            <w:r>
              <w:t xml:space="preserve"> nên</w:t>
            </w:r>
            <w:r w:rsidR="00DD3AFA">
              <w:t xml:space="preserve"> Nghị định không có nội dung này</w:t>
            </w:r>
            <w:r>
              <w:t>.</w:t>
            </w:r>
          </w:p>
        </w:tc>
      </w:tr>
      <w:tr w:rsidR="00665945" w:rsidRPr="00C4413B" w14:paraId="417C3E26" w14:textId="77777777" w:rsidTr="00334C3A">
        <w:tc>
          <w:tcPr>
            <w:tcW w:w="2335" w:type="dxa"/>
          </w:tcPr>
          <w:p w14:paraId="0DC76F8A" w14:textId="77777777" w:rsidR="00665945" w:rsidRPr="006F3E1A" w:rsidRDefault="00665945" w:rsidP="00052234">
            <w:pPr>
              <w:spacing w:before="40" w:after="40"/>
              <w:jc w:val="both"/>
              <w:rPr>
                <w:b/>
              </w:rPr>
            </w:pPr>
          </w:p>
        </w:tc>
        <w:tc>
          <w:tcPr>
            <w:tcW w:w="1440" w:type="dxa"/>
          </w:tcPr>
          <w:p w14:paraId="370EA71F" w14:textId="6ADB8C0B" w:rsidR="00665945" w:rsidRDefault="00665945" w:rsidP="00052234">
            <w:pPr>
              <w:spacing w:before="40" w:after="40"/>
              <w:jc w:val="both"/>
              <w:rPr>
                <w:b/>
              </w:rPr>
            </w:pPr>
            <w:r>
              <w:rPr>
                <w:b/>
              </w:rPr>
              <w:t>BWG</w:t>
            </w:r>
          </w:p>
        </w:tc>
        <w:tc>
          <w:tcPr>
            <w:tcW w:w="5400" w:type="dxa"/>
          </w:tcPr>
          <w:p w14:paraId="482E2D9F" w14:textId="268966B8" w:rsidR="00665945" w:rsidRPr="00AC35D5" w:rsidRDefault="00665945" w:rsidP="00665945">
            <w:pPr>
              <w:spacing w:before="40" w:after="40"/>
              <w:jc w:val="both"/>
            </w:pPr>
            <w:r w:rsidRPr="00665945">
              <w:t xml:space="preserve">Kiến nghi </w:t>
            </w:r>
            <w:r>
              <w:t>bỏ Điều này</w:t>
            </w:r>
          </w:p>
        </w:tc>
        <w:tc>
          <w:tcPr>
            <w:tcW w:w="5392" w:type="dxa"/>
          </w:tcPr>
          <w:p w14:paraId="2E99130A" w14:textId="52BDA4BA" w:rsidR="00665945" w:rsidRPr="00C4413B" w:rsidRDefault="001C341B" w:rsidP="00052234">
            <w:pPr>
              <w:spacing w:before="40" w:after="40"/>
              <w:jc w:val="both"/>
            </w:pPr>
            <w:r>
              <w:t>Tiếp thu ý kiến.</w:t>
            </w:r>
          </w:p>
        </w:tc>
      </w:tr>
      <w:tr w:rsidR="008F37D8" w:rsidRPr="00C4413B" w14:paraId="310CAEF8" w14:textId="77777777" w:rsidTr="00334C3A">
        <w:tc>
          <w:tcPr>
            <w:tcW w:w="2335" w:type="dxa"/>
          </w:tcPr>
          <w:p w14:paraId="54487DA0" w14:textId="57C72DC9" w:rsidR="008F37D8" w:rsidRPr="006F3E1A" w:rsidRDefault="00AC35D5" w:rsidP="000F23B5">
            <w:pPr>
              <w:spacing w:before="40" w:after="40"/>
              <w:jc w:val="both"/>
              <w:rPr>
                <w:b/>
              </w:rPr>
            </w:pPr>
            <w:r w:rsidRPr="006F3E1A">
              <w:rPr>
                <w:b/>
              </w:rPr>
              <w:t>Điều 5. Trách nhiệm thi hành</w:t>
            </w:r>
          </w:p>
        </w:tc>
        <w:tc>
          <w:tcPr>
            <w:tcW w:w="1440" w:type="dxa"/>
          </w:tcPr>
          <w:p w14:paraId="7C0840DB" w14:textId="354B3FB3" w:rsidR="008F37D8" w:rsidRPr="00C4413B" w:rsidRDefault="00980083" w:rsidP="000F23B5">
            <w:pPr>
              <w:spacing w:before="40" w:after="40"/>
              <w:jc w:val="both"/>
              <w:rPr>
                <w:b/>
              </w:rPr>
            </w:pPr>
            <w:r>
              <w:rPr>
                <w:b/>
              </w:rPr>
              <w:t>Hiệp hội ngân hàng</w:t>
            </w:r>
          </w:p>
        </w:tc>
        <w:tc>
          <w:tcPr>
            <w:tcW w:w="5400" w:type="dxa"/>
          </w:tcPr>
          <w:p w14:paraId="63AD1AAD" w14:textId="7D76F632" w:rsidR="008F37D8" w:rsidRPr="00C4413B" w:rsidRDefault="00980083" w:rsidP="00AD4366">
            <w:pPr>
              <w:spacing w:before="40" w:after="40"/>
              <w:jc w:val="both"/>
            </w:pPr>
            <w:r w:rsidRPr="00980083">
              <w:t xml:space="preserve">Điều 5 Dự thảo quy định trách nhiệm thi hành chung cho các Bộ, ngành nhưng </w:t>
            </w:r>
            <w:r w:rsidRPr="00980083">
              <w:rPr>
                <w:bCs/>
              </w:rPr>
              <w:t>chưa gắn với trách nhiệm phối hợp trong hướng dẫn thực hiện thanh toán ròng</w:t>
            </w:r>
            <w:r w:rsidRPr="00980083">
              <w:t>.</w:t>
            </w:r>
            <w:r w:rsidRPr="00980083">
              <w:rPr>
                <w:b/>
              </w:rPr>
              <w:t xml:space="preserve"> </w:t>
            </w:r>
            <w:r w:rsidRPr="00980083">
              <w:t xml:space="preserve">Đề nghị Cơ quan soạn thảo xem xét </w:t>
            </w:r>
            <w:r w:rsidRPr="00980083">
              <w:rPr>
                <w:bCs/>
              </w:rPr>
              <w:t>làm rõ trách nhiệm phối hợp</w:t>
            </w:r>
            <w:r w:rsidRPr="00980083">
              <w:t xml:space="preserve"> giữa các cơ quan quản lý Nhà nước trong việc hướng dẫn, tổ chức thực hiện thống nhất Nghị định, tránh tình trạng mỗi lĩnh vực áp dụng theo cách hiểu khác nhau.</w:t>
            </w:r>
          </w:p>
        </w:tc>
        <w:tc>
          <w:tcPr>
            <w:tcW w:w="5392" w:type="dxa"/>
          </w:tcPr>
          <w:p w14:paraId="691A6092" w14:textId="77777777" w:rsidR="006040A3" w:rsidRDefault="006040A3" w:rsidP="006040A3">
            <w:pPr>
              <w:spacing w:before="40" w:after="40"/>
              <w:jc w:val="both"/>
            </w:pPr>
            <w:r>
              <w:t>Không tiếp thu.</w:t>
            </w:r>
          </w:p>
          <w:p w14:paraId="02E54820" w14:textId="2B2EFE75" w:rsidR="008F37D8" w:rsidRPr="006040A3" w:rsidRDefault="006040A3" w:rsidP="007F0CBC">
            <w:pPr>
              <w:spacing w:before="40" w:after="40"/>
              <w:jc w:val="both"/>
            </w:pPr>
            <w:r>
              <w:t>Nghị định quy định</w:t>
            </w:r>
            <w:r w:rsidR="007F0CBC">
              <w:t xml:space="preserve"> các trường hợp loại trừ tại các điều khoản liên quan trong Luật Phục hồi, phá sản và nguyên tắc áp dụng khi xử lý hợp đồng phái sinh có điều khoản về thanh toán ròng. Do đó,</w:t>
            </w:r>
            <w:r>
              <w:t xml:space="preserve"> các cơ quan quản lý Nhà nước căn cứ chức năng, nhiệm vụ của mình để tổ chức thực hiện.</w:t>
            </w:r>
          </w:p>
        </w:tc>
      </w:tr>
      <w:tr w:rsidR="001E5239" w:rsidRPr="00C4413B" w14:paraId="261DD59B" w14:textId="77777777" w:rsidTr="00334C3A">
        <w:tc>
          <w:tcPr>
            <w:tcW w:w="2335" w:type="dxa"/>
          </w:tcPr>
          <w:p w14:paraId="5D981C43" w14:textId="33F7A8F7" w:rsidR="001E5239" w:rsidRPr="006F3E1A" w:rsidRDefault="001E5239" w:rsidP="001E5239">
            <w:pPr>
              <w:spacing w:before="40" w:after="40"/>
              <w:jc w:val="both"/>
              <w:rPr>
                <w:b/>
              </w:rPr>
            </w:pPr>
            <w:r w:rsidRPr="00157901">
              <w:rPr>
                <w:b/>
              </w:rPr>
              <w:t>Góp ý chung</w:t>
            </w:r>
          </w:p>
        </w:tc>
        <w:tc>
          <w:tcPr>
            <w:tcW w:w="1440" w:type="dxa"/>
          </w:tcPr>
          <w:p w14:paraId="2F810DA2" w14:textId="77777777" w:rsidR="001E5239" w:rsidRDefault="001E5239" w:rsidP="001E5239">
            <w:pPr>
              <w:spacing w:before="40" w:after="40"/>
              <w:jc w:val="both"/>
              <w:rPr>
                <w:b/>
              </w:rPr>
            </w:pPr>
          </w:p>
        </w:tc>
        <w:tc>
          <w:tcPr>
            <w:tcW w:w="5400" w:type="dxa"/>
          </w:tcPr>
          <w:p w14:paraId="04F4CAC9" w14:textId="77777777" w:rsidR="001E5239" w:rsidRPr="00980083" w:rsidRDefault="001E5239" w:rsidP="001E5239">
            <w:pPr>
              <w:spacing w:before="40" w:after="40"/>
              <w:jc w:val="both"/>
            </w:pPr>
          </w:p>
        </w:tc>
        <w:tc>
          <w:tcPr>
            <w:tcW w:w="5392" w:type="dxa"/>
          </w:tcPr>
          <w:p w14:paraId="3E1426B5" w14:textId="77777777" w:rsidR="001E5239" w:rsidRPr="00C4413B" w:rsidRDefault="001E5239" w:rsidP="001E5239">
            <w:pPr>
              <w:spacing w:before="40" w:after="40"/>
              <w:jc w:val="both"/>
              <w:rPr>
                <w:b/>
              </w:rPr>
            </w:pPr>
          </w:p>
        </w:tc>
      </w:tr>
      <w:tr w:rsidR="001E5239" w:rsidRPr="00C4413B" w14:paraId="6D24EB28" w14:textId="77777777" w:rsidTr="00334C3A">
        <w:tc>
          <w:tcPr>
            <w:tcW w:w="2335" w:type="dxa"/>
          </w:tcPr>
          <w:p w14:paraId="7F49BD8A" w14:textId="77777777" w:rsidR="001E5239" w:rsidRPr="006F3E1A" w:rsidRDefault="001E5239" w:rsidP="001E5239">
            <w:pPr>
              <w:spacing w:before="40" w:after="40"/>
              <w:jc w:val="both"/>
              <w:rPr>
                <w:b/>
              </w:rPr>
            </w:pPr>
          </w:p>
        </w:tc>
        <w:tc>
          <w:tcPr>
            <w:tcW w:w="1440" w:type="dxa"/>
          </w:tcPr>
          <w:p w14:paraId="4AF959F5" w14:textId="28440648" w:rsidR="001E5239" w:rsidRDefault="001E5239" w:rsidP="001E5239">
            <w:pPr>
              <w:spacing w:before="40" w:after="40"/>
              <w:rPr>
                <w:b/>
              </w:rPr>
            </w:pPr>
            <w:r>
              <w:rPr>
                <w:b/>
              </w:rPr>
              <w:t>Bộ Công thương</w:t>
            </w:r>
          </w:p>
        </w:tc>
        <w:tc>
          <w:tcPr>
            <w:tcW w:w="5400" w:type="dxa"/>
          </w:tcPr>
          <w:p w14:paraId="5AFCEB89" w14:textId="07676BF6" w:rsidR="001E5239" w:rsidRPr="00157901" w:rsidRDefault="001E5239" w:rsidP="001E5239">
            <w:pPr>
              <w:spacing w:before="40" w:after="40"/>
              <w:jc w:val="both"/>
            </w:pPr>
            <w:r>
              <w:t>Đề nghị cơ quan chủ trì soạn thảo tiếp tục nghiên cứu, rà soát và làm rõ phạm vi áp dụng, tác động đối với doanh nghiệp không thuộc lĩnh vực ngân hàng, đặc biệt là đối với các doanh nghiệp sản xuất-thương mại trên cơ sở thống nhất với các quy định pháp luật hiện hành: Luật Thương mại, Luật Doanh nghiệp, Luật Phục hồi, phá sản, Luật Các TCTD.</w:t>
            </w:r>
          </w:p>
        </w:tc>
        <w:tc>
          <w:tcPr>
            <w:tcW w:w="5392" w:type="dxa"/>
          </w:tcPr>
          <w:p w14:paraId="33E4D750" w14:textId="5443BB23" w:rsidR="001E5239" w:rsidRPr="00AB7824" w:rsidRDefault="00097495" w:rsidP="00097495">
            <w:pPr>
              <w:spacing w:before="40" w:after="40"/>
              <w:jc w:val="both"/>
            </w:pPr>
            <w:r>
              <w:t xml:space="preserve">NHNN đã nghiên cứu, rà soát. Việc cho phép loại trừ các hợp đồng có điều khoản về thanh toán ròng tại một số quy định của Luật Phục hồi, phá sản nhằm đảm bảo </w:t>
            </w:r>
            <w:r w:rsidRPr="00097495">
              <w:t>rõ ràng các quyền lợi của chủ nợ. Ngoài ra, việc cho loại trừ các hợp đồng phái sinh có điều khoản về thanh toán ròng cũng hạn chế rủi ro cho các bên trong quá trình thực hiện hợp đồng.</w:t>
            </w:r>
          </w:p>
        </w:tc>
      </w:tr>
      <w:tr w:rsidR="001E5239" w:rsidRPr="00C4413B" w14:paraId="484166CC" w14:textId="77777777" w:rsidTr="00334C3A">
        <w:tc>
          <w:tcPr>
            <w:tcW w:w="2335" w:type="dxa"/>
          </w:tcPr>
          <w:p w14:paraId="29843C3B" w14:textId="77777777" w:rsidR="001E5239" w:rsidRPr="006F3E1A" w:rsidRDefault="001E5239" w:rsidP="001E5239">
            <w:pPr>
              <w:spacing w:before="40" w:after="40"/>
              <w:jc w:val="both"/>
              <w:rPr>
                <w:b/>
              </w:rPr>
            </w:pPr>
          </w:p>
        </w:tc>
        <w:tc>
          <w:tcPr>
            <w:tcW w:w="1440" w:type="dxa"/>
          </w:tcPr>
          <w:p w14:paraId="510762F9" w14:textId="4354EB86" w:rsidR="001E5239" w:rsidRDefault="001E5239" w:rsidP="001E5239">
            <w:pPr>
              <w:spacing w:before="40" w:after="40"/>
              <w:jc w:val="both"/>
              <w:rPr>
                <w:b/>
              </w:rPr>
            </w:pPr>
            <w:r>
              <w:rPr>
                <w:b/>
              </w:rPr>
              <w:t>Hiệp hội ngân hàng</w:t>
            </w:r>
          </w:p>
        </w:tc>
        <w:tc>
          <w:tcPr>
            <w:tcW w:w="5400" w:type="dxa"/>
          </w:tcPr>
          <w:p w14:paraId="2BDC438E" w14:textId="77777777" w:rsidR="001E5239" w:rsidRPr="00157901" w:rsidRDefault="001E5239" w:rsidP="001E5239">
            <w:pPr>
              <w:spacing w:before="40" w:after="40"/>
              <w:jc w:val="both"/>
              <w:rPr>
                <w:b/>
                <w:i/>
              </w:rPr>
            </w:pPr>
            <w:r w:rsidRPr="00157901">
              <w:t xml:space="preserve">Việc loại trừ, không áp dụng việc tạm đình chỉ, tạm dừng giao dịch; tạm đình chỉ, đình chỉ hợp đồng đang có hiệu lực, bù trừ nghĩa vụ đối với các hợp đồng phái sinh có thỏa thuận thanh toán ròng có thể ảnh hưởng đến quyền và lợi ích </w:t>
            </w:r>
            <w:r w:rsidRPr="00817A2F">
              <w:t xml:space="preserve">của các chủ thể khác liên quan trong thủ tục phá sản. Vì vậy, để áp dụng cơ chế ngoại lệ này, đề nghị Cơ quan soạn thảo bổ sung cơ chế, phương thức công khai hoặc đăng ký các giao dịch, hợp đồng phái sinh có thỏa thuận thanh toán ròng, đảm </w:t>
            </w:r>
            <w:r w:rsidRPr="00817A2F">
              <w:lastRenderedPageBreak/>
              <w:t>bảo cơ chế giám sát chung của các chủ thể liên quan đối với giao dịch này.</w:t>
            </w:r>
          </w:p>
          <w:p w14:paraId="236CC57F" w14:textId="77777777" w:rsidR="001E5239" w:rsidRPr="00980083" w:rsidRDefault="001E5239" w:rsidP="001E5239">
            <w:pPr>
              <w:spacing w:before="40" w:after="40"/>
              <w:jc w:val="both"/>
            </w:pPr>
          </w:p>
        </w:tc>
        <w:tc>
          <w:tcPr>
            <w:tcW w:w="5392" w:type="dxa"/>
          </w:tcPr>
          <w:p w14:paraId="5F6F99B3" w14:textId="77777777" w:rsidR="001E5239" w:rsidRDefault="006040A3" w:rsidP="001E5239">
            <w:pPr>
              <w:spacing w:before="40" w:after="40"/>
              <w:jc w:val="both"/>
            </w:pPr>
            <w:r w:rsidRPr="006040A3">
              <w:lastRenderedPageBreak/>
              <w:t>Không tiếp thu.</w:t>
            </w:r>
          </w:p>
          <w:p w14:paraId="1EE16737" w14:textId="2D73945D" w:rsidR="006040A3" w:rsidRPr="006040A3" w:rsidRDefault="004E2DD3" w:rsidP="004E2DD3">
            <w:pPr>
              <w:spacing w:before="40" w:after="40"/>
              <w:jc w:val="both"/>
            </w:pPr>
            <w:r>
              <w:t xml:space="preserve">Để có hợp đồng phái sinh có điều khoản về thanh toán ròng thì các bên phải giao kết hợp đồng và tuân thủ các quy định chặc chẽ tại Thông tư 01. Theo đó, không cần thiết phải bổ sung cơ chế, phương thức công khai hoặc đăng ký giao dịch. Ngoài ra, tại Luật Phục hồi, phá sản đã quy định quy trình, thủ tục xử lý vụ việc phá sản rất cụ thể và chi tiết để nhằm đảm bảo quyền và lợi ích của các bên có liên quan. </w:t>
            </w:r>
          </w:p>
        </w:tc>
      </w:tr>
      <w:tr w:rsidR="001E5239" w:rsidRPr="00C4413B" w14:paraId="556A8A69" w14:textId="77777777" w:rsidTr="00334C3A">
        <w:tc>
          <w:tcPr>
            <w:tcW w:w="2335" w:type="dxa"/>
          </w:tcPr>
          <w:p w14:paraId="10117455" w14:textId="77777777" w:rsidR="001E5239" w:rsidRPr="006F3E1A" w:rsidRDefault="001E5239" w:rsidP="001E5239">
            <w:pPr>
              <w:spacing w:before="40" w:after="40"/>
              <w:jc w:val="both"/>
              <w:rPr>
                <w:b/>
              </w:rPr>
            </w:pPr>
          </w:p>
        </w:tc>
        <w:tc>
          <w:tcPr>
            <w:tcW w:w="1440" w:type="dxa"/>
          </w:tcPr>
          <w:p w14:paraId="08A89AA7" w14:textId="3C186A30" w:rsidR="001E5239" w:rsidRDefault="001E5239" w:rsidP="001E5239">
            <w:pPr>
              <w:spacing w:before="40" w:after="40"/>
              <w:jc w:val="both"/>
              <w:rPr>
                <w:b/>
              </w:rPr>
            </w:pPr>
            <w:r>
              <w:rPr>
                <w:b/>
              </w:rPr>
              <w:t>Hiệp hội ngân hàng</w:t>
            </w:r>
          </w:p>
        </w:tc>
        <w:tc>
          <w:tcPr>
            <w:tcW w:w="5400" w:type="dxa"/>
          </w:tcPr>
          <w:p w14:paraId="4741ADDE" w14:textId="0FAE97D8" w:rsidR="001E5239" w:rsidRPr="00980083" w:rsidRDefault="001E5239" w:rsidP="001E5239">
            <w:pPr>
              <w:spacing w:before="40" w:after="40"/>
              <w:jc w:val="both"/>
            </w:pPr>
            <w:r w:rsidRPr="00157901">
              <w:t xml:space="preserve">Để góp phần áp dụng và thực thi đúng quy định pháp luật, đề nghị Cơ quan </w:t>
            </w:r>
            <w:r w:rsidRPr="004E2DD3">
              <w:t>soạn thảo định nghĩa và làm rõ phạm vi, cách hiểu của các thuật ngữ “hợp đồng phái sinh”, “thanh toán ròng” được đề cập</w:t>
            </w:r>
            <w:r w:rsidRPr="00157901">
              <w:t xml:space="preserve"> trong nội dung Dự thảo để các cá nhân, tổ chức vận dụng đúng tinh thần của Dự thảo.</w:t>
            </w:r>
          </w:p>
        </w:tc>
        <w:tc>
          <w:tcPr>
            <w:tcW w:w="5392" w:type="dxa"/>
          </w:tcPr>
          <w:p w14:paraId="5030FC5E" w14:textId="77777777" w:rsidR="001E5239" w:rsidRPr="00030090" w:rsidRDefault="00097495" w:rsidP="001E5239">
            <w:pPr>
              <w:spacing w:before="40" w:after="40"/>
              <w:jc w:val="both"/>
            </w:pPr>
            <w:r w:rsidRPr="00030090">
              <w:t>Không tiếp thu.</w:t>
            </w:r>
          </w:p>
          <w:p w14:paraId="3DB7F624" w14:textId="44E4935D" w:rsidR="00097495" w:rsidRPr="00097495" w:rsidRDefault="006040A3" w:rsidP="000A078C">
            <w:pPr>
              <w:spacing w:before="40" w:after="40"/>
              <w:jc w:val="both"/>
            </w:pPr>
            <w:r>
              <w:t xml:space="preserve">Tại Thông tư 01 </w:t>
            </w:r>
            <w:r w:rsidR="001E1ED3">
              <w:t xml:space="preserve">– đã sửa đổi, bổ sung </w:t>
            </w:r>
            <w:r>
              <w:t xml:space="preserve">đã có định nghĩa về thanh toán ròng </w:t>
            </w:r>
            <w:r w:rsidR="004E2DD3">
              <w:t xml:space="preserve">(khoản 16 Điều </w:t>
            </w:r>
            <w:r w:rsidR="001E1ED3">
              <w:t>1 Thông tư 25</w:t>
            </w:r>
            <w:r w:rsidR="004E2DD3">
              <w:t>)</w:t>
            </w:r>
            <w:r w:rsidR="001E1ED3">
              <w:t>,</w:t>
            </w:r>
            <w:r>
              <w:t xml:space="preserve"> quy định</w:t>
            </w:r>
            <w:r w:rsidR="004E2DD3">
              <w:t xml:space="preserve"> cụ thể về Hợp đồng phái sinh (Điều 14)</w:t>
            </w:r>
            <w:r w:rsidR="001E1ED3">
              <w:t xml:space="preserve"> và thỏa thuận về thanh toán ròng giữa các bên trong hợp đồng phái sinh lãi suất (khoản 7 Điều 1 Thông tư 25)</w:t>
            </w:r>
            <w:r w:rsidR="004E2DD3">
              <w:t>.</w:t>
            </w:r>
            <w:r>
              <w:t xml:space="preserve"> </w:t>
            </w:r>
          </w:p>
        </w:tc>
      </w:tr>
      <w:tr w:rsidR="00EC1686" w:rsidRPr="00C4413B" w14:paraId="05F84BA9" w14:textId="77777777" w:rsidTr="00334C3A">
        <w:tc>
          <w:tcPr>
            <w:tcW w:w="2335" w:type="dxa"/>
          </w:tcPr>
          <w:p w14:paraId="3C96795D" w14:textId="024E8CB3" w:rsidR="00EC1686" w:rsidRPr="006F3E1A" w:rsidRDefault="00EC1686" w:rsidP="001E5239">
            <w:pPr>
              <w:spacing w:before="40" w:after="40"/>
              <w:jc w:val="both"/>
              <w:rPr>
                <w:b/>
              </w:rPr>
            </w:pPr>
          </w:p>
        </w:tc>
        <w:tc>
          <w:tcPr>
            <w:tcW w:w="1440" w:type="dxa"/>
          </w:tcPr>
          <w:p w14:paraId="73BAB568" w14:textId="393740F8" w:rsidR="00EC1686" w:rsidRDefault="00EC1686" w:rsidP="001E5239">
            <w:pPr>
              <w:spacing w:before="40" w:after="40"/>
              <w:jc w:val="both"/>
              <w:rPr>
                <w:b/>
              </w:rPr>
            </w:pPr>
            <w:r>
              <w:rPr>
                <w:b/>
              </w:rPr>
              <w:t>BWG</w:t>
            </w:r>
          </w:p>
        </w:tc>
        <w:tc>
          <w:tcPr>
            <w:tcW w:w="5400" w:type="dxa"/>
          </w:tcPr>
          <w:p w14:paraId="0AC861BE" w14:textId="7949683C" w:rsidR="00EC1686" w:rsidRPr="00EC1686" w:rsidRDefault="00D85D74" w:rsidP="00BE6995">
            <w:pPr>
              <w:spacing w:before="40" w:after="40"/>
              <w:jc w:val="both"/>
              <w:rPr>
                <w:bCs/>
                <w:lang w:val="vi-VN"/>
              </w:rPr>
            </w:pPr>
            <w:r>
              <w:rPr>
                <w:b/>
                <w:bCs/>
              </w:rPr>
              <w:t>1.</w:t>
            </w:r>
            <w:r w:rsidRPr="00D85D74">
              <w:rPr>
                <w:bCs/>
              </w:rPr>
              <w:t xml:space="preserve"> </w:t>
            </w:r>
            <w:r w:rsidR="00EC1686" w:rsidRPr="00D85D74">
              <w:rPr>
                <w:bCs/>
                <w:lang w:val="vi-VN"/>
              </w:rPr>
              <w:t>Thiếu định nghĩa thanh toán ròng</w:t>
            </w:r>
          </w:p>
          <w:p w14:paraId="445A7AF5" w14:textId="77777777" w:rsidR="00EC1686" w:rsidRPr="00EC1686" w:rsidRDefault="00EC1686" w:rsidP="00EC1686">
            <w:pPr>
              <w:spacing w:before="40" w:after="40"/>
              <w:jc w:val="both"/>
              <w:rPr>
                <w:lang w:val="vi-VN"/>
              </w:rPr>
            </w:pPr>
            <w:r w:rsidRPr="00EC1686">
              <w:rPr>
                <w:lang w:val="vi-VN"/>
              </w:rPr>
              <w:t>Tại Việt Nam, các giao dịch có áp dụng thanh toán ròng có thể do Ngân hàng Nhà nước (“</w:t>
            </w:r>
            <w:r w:rsidRPr="00EC1686">
              <w:rPr>
                <w:b/>
                <w:bCs/>
                <w:lang w:val="vi-VN"/>
              </w:rPr>
              <w:t>NHNN</w:t>
            </w:r>
            <w:r w:rsidRPr="00EC1686">
              <w:rPr>
                <w:lang w:val="vi-VN"/>
              </w:rPr>
              <w:t xml:space="preserve">”), Bộ Tài chính hoặc Bộ Công thương quản lý. Thực tiễn tại các quốc gia khác cũng tương tự như vậy. </w:t>
            </w:r>
            <w:r w:rsidRPr="00EC1686">
              <w:rPr>
                <w:b/>
                <w:bCs/>
                <w:lang w:val="vi-VN"/>
              </w:rPr>
              <w:t>Tuy nhiên, trên thế giới, không có quốc gia nào công nhận thanh toán ròng phân mảnh và rời rạc trong khi cơ chế thanh toán ròng là như nhau với các giao dịch tài chính, bao gồm cả giao dịch bảo đảm liên quan</w:t>
            </w:r>
            <w:r w:rsidRPr="00EC1686">
              <w:rPr>
                <w:lang w:val="vi-VN"/>
              </w:rPr>
              <w:t xml:space="preserve"> (</w:t>
            </w:r>
            <w:r w:rsidRPr="00EC1686">
              <w:rPr>
                <w:i/>
                <w:iCs/>
                <w:lang w:val="vi-VN"/>
              </w:rPr>
              <w:t>Vui lòng tham khảo danh mục các giao dịch được phép thanh toán ròng theo ISDA tại Phụ lục 2</w:t>
            </w:r>
            <w:r w:rsidRPr="00EC1686">
              <w:rPr>
                <w:lang w:val="vi-VN"/>
              </w:rPr>
              <w:t>)</w:t>
            </w:r>
            <w:r w:rsidRPr="00EC1686">
              <w:rPr>
                <w:b/>
                <w:bCs/>
                <w:lang w:val="vi-VN"/>
              </w:rPr>
              <w:t>.</w:t>
            </w:r>
            <w:r w:rsidRPr="00EC1686">
              <w:rPr>
                <w:lang w:val="vi-VN"/>
              </w:rPr>
              <w:t xml:space="preserve"> Chính vì vậy, tại giai đoạn xây dựng Luật Phá sản, phục hồi, BWG đã đề xuất và luật đã quy định giao Chính phủ </w:t>
            </w:r>
            <w:r w:rsidRPr="00EC1686">
              <w:rPr>
                <w:u w:val="single"/>
                <w:lang w:val="vi-VN"/>
              </w:rPr>
              <w:t>quy định chi tiết</w:t>
            </w:r>
            <w:r w:rsidRPr="00EC1686">
              <w:rPr>
                <w:lang w:val="vi-VN"/>
              </w:rPr>
              <w:t xml:space="preserve"> các điều khoản này. Từng cơ quan chuyên ngành nếu chỉ hướng dẫn trong phạm vi sản phẩm mà mình quản lý sẽ không thể tháo gỡ được vướng mắc và việc thực hiện thanh toán ròng sẽ không thực hiện được trên thực tế.</w:t>
            </w:r>
          </w:p>
          <w:p w14:paraId="2DEE1525" w14:textId="77777777" w:rsidR="00EC1686" w:rsidRDefault="00EC1686" w:rsidP="001E5239">
            <w:pPr>
              <w:spacing w:before="40" w:after="40"/>
              <w:jc w:val="both"/>
              <w:rPr>
                <w:lang w:val="vi-VN"/>
              </w:rPr>
            </w:pPr>
            <w:r w:rsidRPr="00EC1686">
              <w:rPr>
                <w:lang w:val="vi-VN"/>
              </w:rPr>
              <w:t xml:space="preserve">BWG đề xuất nghị định tối thiểu phải có định nghĩa chung về thanh toán ròng tham khảo thông lệ quốc tế. </w:t>
            </w:r>
            <w:r w:rsidRPr="00EC1686">
              <w:rPr>
                <w:lang w:val="vi-VN"/>
              </w:rPr>
              <w:lastRenderedPageBreak/>
              <w:t>Việc xác định giao dịch tài chính nào được áp dụng thanh toán ròng cùng các giao dịch khác, có thể để luật chuyên ngành hướng dẫn chi tiết hơn. (Vui lòng xem đề xuất sửa đổi tại phần Phụ lục).</w:t>
            </w:r>
          </w:p>
          <w:p w14:paraId="29316C7D" w14:textId="77777777" w:rsidR="00C65B49" w:rsidRPr="00BE6995" w:rsidRDefault="00C65B49" w:rsidP="00C65B49">
            <w:pPr>
              <w:spacing w:before="40" w:after="40"/>
              <w:jc w:val="both"/>
              <w:rPr>
                <w:lang w:val="vi-VN"/>
              </w:rPr>
            </w:pPr>
            <w:r w:rsidRPr="00D85D74">
              <w:rPr>
                <w:b/>
              </w:rPr>
              <w:t>2.</w:t>
            </w:r>
            <w:r>
              <w:t xml:space="preserve"> </w:t>
            </w:r>
            <w:r w:rsidRPr="00D85D74">
              <w:rPr>
                <w:iCs/>
                <w:lang w:val="vi-VN"/>
              </w:rPr>
              <w:t>Thiếu cơ chế thanh toán ròng chéo giữa các sản phẩm tài chính, bó hẹp ở sản phẩm phái sinh lãi suất</w:t>
            </w:r>
          </w:p>
          <w:p w14:paraId="5CCE41B4" w14:textId="681BC8B5" w:rsidR="00C65B49" w:rsidRPr="00C65B49" w:rsidRDefault="00C65B49" w:rsidP="00C65B49">
            <w:pPr>
              <w:spacing w:before="40" w:after="40"/>
              <w:jc w:val="both"/>
            </w:pPr>
            <w:r w:rsidRPr="00BE6995">
              <w:rPr>
                <w:bCs/>
                <w:iCs/>
                <w:lang w:val="vi-VN"/>
              </w:rPr>
              <w:t>Dự thảo Nghị định chỉ cho phép thanh toán ròng giữa giao dịch phái sinh lãi suất với nhau. Trong khi quốc tế và thực tiễn thị trường Việt Nam đã thỏa thuận thanh toán ròng tổng thể giữa các giao dịch phái sinh lãi suất, giao dịch ngoại tệ và giao dịch bảo đảm liên quan. Kính mong NHNN xem xét mở rộng để gỡ vướng cho thị trường.</w:t>
            </w:r>
          </w:p>
        </w:tc>
        <w:tc>
          <w:tcPr>
            <w:tcW w:w="5392" w:type="dxa"/>
          </w:tcPr>
          <w:p w14:paraId="546656B7" w14:textId="77777777" w:rsidR="00755711" w:rsidRDefault="00AB7824" w:rsidP="00AB7824">
            <w:pPr>
              <w:spacing w:before="40" w:after="40"/>
              <w:jc w:val="both"/>
            </w:pPr>
            <w:r>
              <w:lastRenderedPageBreak/>
              <w:t xml:space="preserve">1. </w:t>
            </w:r>
            <w:r w:rsidR="002A3EEA" w:rsidRPr="002A3EEA">
              <w:t xml:space="preserve">Không tiếp thu, </w:t>
            </w:r>
            <w:r w:rsidR="00A46D01">
              <w:t xml:space="preserve">thanh toán ròng là khái niệm </w:t>
            </w:r>
            <w:r w:rsidR="00B46743">
              <w:t>rộng</w:t>
            </w:r>
            <w:r w:rsidR="00A46D01">
              <w:t xml:space="preserve"> </w:t>
            </w:r>
            <w:r w:rsidR="00B46743">
              <w:t xml:space="preserve">và liên quan đến rất nhiều sản phẩm, nên </w:t>
            </w:r>
            <w:r w:rsidR="002A3EEA" w:rsidRPr="002A3EEA">
              <w:t>việc</w:t>
            </w:r>
            <w:r w:rsidR="002A3EEA">
              <w:t xml:space="preserve"> định nghĩa về thanh toán ròng cần được quy định</w:t>
            </w:r>
            <w:r w:rsidR="00A46D01">
              <w:t xml:space="preserve"> tại Luật chuyên ngành về phái sinh hoặc cần có 1 quy định chuyên biệt về thanh toán ròng</w:t>
            </w:r>
            <w:r w:rsidR="00B46743">
              <w:t>.</w:t>
            </w:r>
            <w:r w:rsidR="00A46D01">
              <w:t xml:space="preserve"> Nghị định này chỉ quy định việc loại trừ các hợp đồng có thỏa thuận thanh toán ròng</w:t>
            </w:r>
            <w:r w:rsidR="00B46743">
              <w:t xml:space="preserve">, không quy định </w:t>
            </w:r>
            <w:r>
              <w:t xml:space="preserve">định nghĩa </w:t>
            </w:r>
            <w:r w:rsidR="00B46743">
              <w:t>về thanh toán ròng.</w:t>
            </w:r>
            <w:r>
              <w:t xml:space="preserve"> </w:t>
            </w:r>
          </w:p>
          <w:p w14:paraId="60841EEA" w14:textId="4C9301A1" w:rsidR="00755711" w:rsidRDefault="00AB7824" w:rsidP="00AB7824">
            <w:pPr>
              <w:spacing w:before="40" w:after="40"/>
              <w:jc w:val="both"/>
            </w:pPr>
            <w:r>
              <w:t xml:space="preserve">Mặt khác, </w:t>
            </w:r>
            <w:r w:rsidR="00755711">
              <w:t xml:space="preserve">trong quá trình xây dựng Nghị định, các </w:t>
            </w:r>
            <w:r w:rsidR="00755711" w:rsidRPr="00D20AC3">
              <w:t>Bộ Tài chính, Bộ Công thương</w:t>
            </w:r>
            <w:r w:rsidR="00755711">
              <w:t xml:space="preserve"> (là </w:t>
            </w:r>
            <w:r w:rsidR="00755711" w:rsidRPr="00D20AC3">
              <w:t>các đơn vị quản lý các sản phẩm phái sinh khác</w:t>
            </w:r>
            <w:r w:rsidR="00755711">
              <w:t>)</w:t>
            </w:r>
            <w:r w:rsidR="00755711" w:rsidRPr="00D20AC3">
              <w:t xml:space="preserve"> không đề xuất nội dung xây dựng tại dự thảo Nghị định</w:t>
            </w:r>
            <w:r w:rsidR="00755711">
              <w:t xml:space="preserve"> nên không có cơ sở để định nghĩa chung áp dụng cho các giao dịch tài chính thuộc lĩnh vực quản lý của các bộ, ngành khác nhau. </w:t>
            </w:r>
          </w:p>
          <w:p w14:paraId="78DE2246" w14:textId="5C7F0FA8" w:rsidR="00EC1686" w:rsidRDefault="00755711" w:rsidP="00AB7824">
            <w:pPr>
              <w:spacing w:before="40" w:after="40"/>
              <w:jc w:val="both"/>
            </w:pPr>
            <w:r>
              <w:t xml:space="preserve">Bên cạnh đó, </w:t>
            </w:r>
            <w:r w:rsidR="00AB7824">
              <w:t>việc xây dựng định nghĩa thanh toán ròng tham khảo thông lệ quốc tế là chưa phù hợp trong bối cảnh hiện nay vì mức độ phát triển thị trường phái sinh tại Việt Nam mới chỉ ở giai đoạn đầu.</w:t>
            </w:r>
          </w:p>
          <w:p w14:paraId="6FBB7805" w14:textId="7EF5AA23" w:rsidR="00AB7824" w:rsidRPr="002A3EEA" w:rsidRDefault="00AB7824" w:rsidP="00AB7824">
            <w:pPr>
              <w:spacing w:before="40" w:after="40"/>
              <w:jc w:val="both"/>
            </w:pPr>
            <w:r>
              <w:t xml:space="preserve">2. Theo quy định tại Luật Các TCTD và hướng dẫn của NHNN thì hiện nay TCTD mới chỉ được thực hiện </w:t>
            </w:r>
            <w:r>
              <w:lastRenderedPageBreak/>
              <w:t xml:space="preserve">thanh toán ròng giữa các sản phẩm phái sinh lãi suất với nhau, </w:t>
            </w:r>
            <w:r w:rsidRPr="00AB7824">
              <w:rPr>
                <w:u w:val="single"/>
              </w:rPr>
              <w:t>chưa có cơ chế thanh toán ròng đối với các sản phẩm phái sinh khác như phái sinh giá cả hàng hóa, giao dịch ngoại tệ</w:t>
            </w:r>
            <w:r>
              <w:t>. Theo đó, việc xây dựng cơ chế thanh toán ròng chéo giữa các sản phẩm là không phù hợp.</w:t>
            </w:r>
          </w:p>
        </w:tc>
      </w:tr>
    </w:tbl>
    <w:p w14:paraId="717A09F0" w14:textId="77777777" w:rsidR="001F0E95" w:rsidRPr="001F0E95" w:rsidRDefault="001F0E95">
      <w:pPr>
        <w:rPr>
          <w:b/>
        </w:rPr>
      </w:pPr>
    </w:p>
    <w:sectPr w:rsidR="001F0E95" w:rsidRPr="001F0E95" w:rsidSect="005522CA">
      <w:headerReference w:type="default" r:id="rId8"/>
      <w:pgSz w:w="16840" w:h="11907" w:orient="landscape" w:code="9"/>
      <w:pgMar w:top="1021" w:right="1021" w:bottom="1021" w:left="153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E5546" w14:textId="77777777" w:rsidR="00FC65C5" w:rsidRDefault="00FC65C5" w:rsidP="00864E7B">
      <w:r>
        <w:separator/>
      </w:r>
    </w:p>
  </w:endnote>
  <w:endnote w:type="continuationSeparator" w:id="0">
    <w:p w14:paraId="152A0DC9" w14:textId="77777777" w:rsidR="00FC65C5" w:rsidRDefault="00FC65C5" w:rsidP="0086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6EA88" w14:textId="77777777" w:rsidR="00FC65C5" w:rsidRDefault="00FC65C5" w:rsidP="00864E7B">
      <w:r>
        <w:separator/>
      </w:r>
    </w:p>
  </w:footnote>
  <w:footnote w:type="continuationSeparator" w:id="0">
    <w:p w14:paraId="54281EC5" w14:textId="77777777" w:rsidR="00FC65C5" w:rsidRDefault="00FC65C5" w:rsidP="00864E7B">
      <w:r>
        <w:continuationSeparator/>
      </w:r>
    </w:p>
  </w:footnote>
  <w:footnote w:id="1">
    <w:p w14:paraId="34F336AF" w14:textId="00B22445" w:rsidR="00100483" w:rsidRDefault="00100483">
      <w:pPr>
        <w:pStyle w:val="FootnoteText"/>
      </w:pPr>
      <w:r>
        <w:rPr>
          <w:rStyle w:val="FootnoteReference"/>
        </w:rPr>
        <w:footnoteRef/>
      </w:r>
      <w:r>
        <w:t xml:space="preserve"> </w:t>
      </w:r>
      <w:r w:rsidR="00515345" w:rsidRPr="003E32B9">
        <w:t>Bộ Tài chính</w:t>
      </w:r>
      <w:r w:rsidR="00515345">
        <w:t>;</w:t>
      </w:r>
      <w:r w:rsidR="00515345" w:rsidRPr="00D3630E">
        <w:t xml:space="preserve"> </w:t>
      </w:r>
      <w:r w:rsidRPr="00D3630E">
        <w:t>Liên đoàn Thương mại và Công nghiệp</w:t>
      </w:r>
      <w:r>
        <w:t xml:space="preserve"> Việt Nam không có ý kiến bổ sung; Bộ Công thương nhất trí về sự cần thiết đối với việc ban hành Nghị định </w:t>
      </w:r>
      <w:r w:rsidR="00515345">
        <w:t xml:space="preserve">và đề nghị làm rõ phạm vi áp dụng, tác động đối với các doanh nghiệp không thuộc lĩnh vực ngân hàng. </w:t>
      </w:r>
      <w:r>
        <w:t xml:space="preserve"> </w:t>
      </w:r>
    </w:p>
  </w:footnote>
  <w:footnote w:id="2">
    <w:p w14:paraId="1ABA778C" w14:textId="3DCA2B4D" w:rsidR="00515345" w:rsidRDefault="00515345">
      <w:pPr>
        <w:pStyle w:val="FootnoteText"/>
      </w:pPr>
      <w:r>
        <w:rPr>
          <w:rStyle w:val="FootnoteReference"/>
        </w:rPr>
        <w:footnoteRef/>
      </w:r>
      <w:r>
        <w:t xml:space="preserve"> </w:t>
      </w:r>
      <w:r w:rsidRPr="003E32B9">
        <w:t>Bộ Tư pháp</w:t>
      </w:r>
      <w:r>
        <w:t xml:space="preserve">; </w:t>
      </w:r>
      <w:r w:rsidR="005956B3">
        <w:t xml:space="preserve">Tòa án Nhân dân tối cao; </w:t>
      </w:r>
      <w:r>
        <w:t>Hiệp hội ngân hàng Việt Nam; Nhóm Công tác ngân hàng (BWG).</w:t>
      </w:r>
    </w:p>
  </w:footnote>
  <w:footnote w:id="3">
    <w:p w14:paraId="7230FA80" w14:textId="77777777" w:rsidR="00A53DD7" w:rsidRPr="002E2D23" w:rsidRDefault="00A53DD7" w:rsidP="00515875">
      <w:pPr>
        <w:pStyle w:val="FootnoteText"/>
        <w:jc w:val="both"/>
      </w:pPr>
      <w:r w:rsidRPr="002E2D23">
        <w:rPr>
          <w:rStyle w:val="FootnoteReference"/>
        </w:rPr>
        <w:footnoteRef/>
      </w:r>
      <w:r w:rsidRPr="002E2D23">
        <w:t xml:space="preserve"> </w:t>
      </w:r>
      <w:bookmarkStart w:id="1" w:name="dieu_65"/>
      <w:r w:rsidRPr="002E2D23">
        <w:t xml:space="preserve">Khoản 3 Điều 65 Nghị định số 78/2025/NĐ-CP quy định: </w:t>
      </w:r>
    </w:p>
    <w:p w14:paraId="5C06EA99" w14:textId="77777777" w:rsidR="00A53DD7" w:rsidRPr="002E2D23" w:rsidRDefault="00A53DD7" w:rsidP="00515875">
      <w:pPr>
        <w:pStyle w:val="FootnoteText"/>
        <w:jc w:val="both"/>
        <w:rPr>
          <w:i/>
          <w:lang w:val="x-none"/>
        </w:rPr>
      </w:pPr>
      <w:r w:rsidRPr="002E2D23">
        <w:rPr>
          <w:b/>
          <w:bCs/>
          <w:i/>
        </w:rPr>
        <w:t>“</w:t>
      </w:r>
      <w:r w:rsidRPr="002E2D23">
        <w:rPr>
          <w:b/>
          <w:bCs/>
          <w:i/>
          <w:lang w:val="x-none"/>
        </w:rPr>
        <w:t>Điều 65. Quy định về phạm vi điều chỉnh của văn bản</w:t>
      </w:r>
      <w:bookmarkEnd w:id="1"/>
    </w:p>
    <w:p w14:paraId="1062D138" w14:textId="77777777" w:rsidR="00A53DD7" w:rsidRPr="00A93852" w:rsidRDefault="00A53DD7" w:rsidP="00515875">
      <w:pPr>
        <w:pStyle w:val="FootnoteText"/>
        <w:jc w:val="both"/>
        <w:rPr>
          <w:i/>
        </w:rPr>
      </w:pPr>
      <w:r w:rsidRPr="00A93852">
        <w:rPr>
          <w:i/>
        </w:rPr>
        <w:t>1. Phạm vi điều chỉnh của văn bản phải nêu các nội dung chính của văn bản.</w:t>
      </w:r>
    </w:p>
    <w:p w14:paraId="3A00F875" w14:textId="77777777" w:rsidR="00A53DD7" w:rsidRPr="00A93852" w:rsidRDefault="00A53DD7" w:rsidP="00515875">
      <w:pPr>
        <w:pStyle w:val="FootnoteText"/>
        <w:jc w:val="both"/>
        <w:rPr>
          <w:i/>
        </w:rPr>
      </w:pPr>
      <w:r w:rsidRPr="00A93852">
        <w:rPr>
          <w:i/>
        </w:rPr>
        <w:t>2. Trường hợp văn bản có hiệu lực pháp lý cao hơn có điều, khoản giao quy định chi tiết thì phải nêu cụ thể điều, khoản đó tại điều, khoản quy định về phạm vi điều chỉnh của văn bản</w:t>
      </w:r>
    </w:p>
    <w:p w14:paraId="5248734D" w14:textId="77777777" w:rsidR="00A53DD7" w:rsidRPr="002E2D23" w:rsidRDefault="00A53DD7" w:rsidP="00515875">
      <w:pPr>
        <w:pStyle w:val="FootnoteText"/>
        <w:jc w:val="both"/>
      </w:pPr>
      <w:r w:rsidRPr="002E2D23">
        <w:rPr>
          <w:i/>
        </w:rPr>
        <w:t xml:space="preserve">3. Trường hợp văn bản quy định chi tiết nhiều điều, khoản hoặc vừa quy định chi tiết các điều, khoản được giao vừa quy định các nội dung khác </w:t>
      </w:r>
      <w:r w:rsidRPr="001A20A0">
        <w:rPr>
          <w:i/>
        </w:rPr>
        <w:t>thì phải nêu đầy đủ trong phần quy định về phạm vi điều chỉnh của văn bản”</w:t>
      </w:r>
      <w:r w:rsidRPr="002E2D23">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9634199"/>
      <w:docPartObj>
        <w:docPartGallery w:val="Page Numbers (Top of Page)"/>
        <w:docPartUnique/>
      </w:docPartObj>
    </w:sdtPr>
    <w:sdtEndPr>
      <w:rPr>
        <w:noProof/>
        <w:sz w:val="22"/>
      </w:rPr>
    </w:sdtEndPr>
    <w:sdtContent>
      <w:p w14:paraId="6616CD4B" w14:textId="3E6020E2" w:rsidR="008F0173" w:rsidRPr="00864E7B" w:rsidRDefault="008F0173">
        <w:pPr>
          <w:pStyle w:val="Header"/>
          <w:jc w:val="center"/>
          <w:rPr>
            <w:sz w:val="22"/>
          </w:rPr>
        </w:pPr>
        <w:r w:rsidRPr="00864E7B">
          <w:rPr>
            <w:sz w:val="22"/>
          </w:rPr>
          <w:fldChar w:fldCharType="begin"/>
        </w:r>
        <w:r w:rsidRPr="00864E7B">
          <w:rPr>
            <w:sz w:val="22"/>
          </w:rPr>
          <w:instrText xml:space="preserve"> PAGE   \* MERGEFORMAT </w:instrText>
        </w:r>
        <w:r w:rsidRPr="00864E7B">
          <w:rPr>
            <w:sz w:val="22"/>
          </w:rPr>
          <w:fldChar w:fldCharType="separate"/>
        </w:r>
        <w:r w:rsidR="00250DB9">
          <w:rPr>
            <w:noProof/>
            <w:sz w:val="22"/>
          </w:rPr>
          <w:t>12</w:t>
        </w:r>
        <w:r w:rsidRPr="00864E7B">
          <w:rPr>
            <w:noProof/>
            <w:sz w:val="22"/>
          </w:rPr>
          <w:fldChar w:fldCharType="end"/>
        </w:r>
      </w:p>
    </w:sdtContent>
  </w:sdt>
  <w:p w14:paraId="13CE939C" w14:textId="77777777" w:rsidR="008F0173" w:rsidRPr="00864E7B" w:rsidRDefault="008F0173">
    <w:pPr>
      <w:pStyle w:val="Header"/>
      <w:rPr>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F20CF"/>
    <w:multiLevelType w:val="multilevel"/>
    <w:tmpl w:val="BC4A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F2326D"/>
    <w:multiLevelType w:val="hybridMultilevel"/>
    <w:tmpl w:val="873A6454"/>
    <w:lvl w:ilvl="0" w:tplc="ABD496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7F6282"/>
    <w:multiLevelType w:val="hybridMultilevel"/>
    <w:tmpl w:val="2F8C6254"/>
    <w:lvl w:ilvl="0" w:tplc="AFB64AA6">
      <w:start w:val="1"/>
      <w:numFmt w:val="decimal"/>
      <w:lvlText w:val="%1."/>
      <w:lvlJc w:val="left"/>
      <w:pPr>
        <w:ind w:left="36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E95"/>
    <w:rsid w:val="00001DB1"/>
    <w:rsid w:val="000067FB"/>
    <w:rsid w:val="00012C43"/>
    <w:rsid w:val="000227EA"/>
    <w:rsid w:val="00027EA4"/>
    <w:rsid w:val="00030090"/>
    <w:rsid w:val="00032EC9"/>
    <w:rsid w:val="00033289"/>
    <w:rsid w:val="0003522E"/>
    <w:rsid w:val="00036C28"/>
    <w:rsid w:val="000409E4"/>
    <w:rsid w:val="00042099"/>
    <w:rsid w:val="00052234"/>
    <w:rsid w:val="0005696C"/>
    <w:rsid w:val="00056FE3"/>
    <w:rsid w:val="00064EF4"/>
    <w:rsid w:val="00075748"/>
    <w:rsid w:val="00081D16"/>
    <w:rsid w:val="00083F7B"/>
    <w:rsid w:val="00084000"/>
    <w:rsid w:val="00086B79"/>
    <w:rsid w:val="000871F9"/>
    <w:rsid w:val="000906B4"/>
    <w:rsid w:val="00090ED6"/>
    <w:rsid w:val="000937FC"/>
    <w:rsid w:val="0009423A"/>
    <w:rsid w:val="00095D34"/>
    <w:rsid w:val="00096DB3"/>
    <w:rsid w:val="00097495"/>
    <w:rsid w:val="000979D9"/>
    <w:rsid w:val="000A0409"/>
    <w:rsid w:val="000A078C"/>
    <w:rsid w:val="000A11F2"/>
    <w:rsid w:val="000A6F38"/>
    <w:rsid w:val="000B2138"/>
    <w:rsid w:val="000B3054"/>
    <w:rsid w:val="000B3D29"/>
    <w:rsid w:val="000B4357"/>
    <w:rsid w:val="000B4506"/>
    <w:rsid w:val="000B4802"/>
    <w:rsid w:val="000B5A07"/>
    <w:rsid w:val="000B671A"/>
    <w:rsid w:val="000C2EA8"/>
    <w:rsid w:val="000C4B2F"/>
    <w:rsid w:val="000C52D4"/>
    <w:rsid w:val="000D0568"/>
    <w:rsid w:val="000D0855"/>
    <w:rsid w:val="000D63D6"/>
    <w:rsid w:val="000F23B5"/>
    <w:rsid w:val="000F2F6A"/>
    <w:rsid w:val="000F6D71"/>
    <w:rsid w:val="000F711C"/>
    <w:rsid w:val="00100139"/>
    <w:rsid w:val="00100483"/>
    <w:rsid w:val="0011025F"/>
    <w:rsid w:val="0011105B"/>
    <w:rsid w:val="00111860"/>
    <w:rsid w:val="00112F48"/>
    <w:rsid w:val="00113FEF"/>
    <w:rsid w:val="001142F4"/>
    <w:rsid w:val="0011752D"/>
    <w:rsid w:val="00124428"/>
    <w:rsid w:val="00132C80"/>
    <w:rsid w:val="00132E9D"/>
    <w:rsid w:val="00143D73"/>
    <w:rsid w:val="001447A6"/>
    <w:rsid w:val="001459C4"/>
    <w:rsid w:val="00147385"/>
    <w:rsid w:val="00147D43"/>
    <w:rsid w:val="00155833"/>
    <w:rsid w:val="00157901"/>
    <w:rsid w:val="00161A72"/>
    <w:rsid w:val="00162FB7"/>
    <w:rsid w:val="00166F92"/>
    <w:rsid w:val="001670AA"/>
    <w:rsid w:val="00167B71"/>
    <w:rsid w:val="00174369"/>
    <w:rsid w:val="00174A35"/>
    <w:rsid w:val="0018082A"/>
    <w:rsid w:val="00181B6D"/>
    <w:rsid w:val="001825AB"/>
    <w:rsid w:val="00184BD5"/>
    <w:rsid w:val="00184F5E"/>
    <w:rsid w:val="001862CC"/>
    <w:rsid w:val="00187C12"/>
    <w:rsid w:val="00192851"/>
    <w:rsid w:val="001928A6"/>
    <w:rsid w:val="0019386A"/>
    <w:rsid w:val="00196CDF"/>
    <w:rsid w:val="001A6660"/>
    <w:rsid w:val="001B4C93"/>
    <w:rsid w:val="001B518D"/>
    <w:rsid w:val="001B585B"/>
    <w:rsid w:val="001B63FA"/>
    <w:rsid w:val="001B7231"/>
    <w:rsid w:val="001C066C"/>
    <w:rsid w:val="001C33CA"/>
    <w:rsid w:val="001C341B"/>
    <w:rsid w:val="001C615C"/>
    <w:rsid w:val="001D3E8D"/>
    <w:rsid w:val="001D5656"/>
    <w:rsid w:val="001E1ED3"/>
    <w:rsid w:val="001E5239"/>
    <w:rsid w:val="001F0E95"/>
    <w:rsid w:val="001F1A74"/>
    <w:rsid w:val="001F6E79"/>
    <w:rsid w:val="0020143A"/>
    <w:rsid w:val="002076D8"/>
    <w:rsid w:val="00207896"/>
    <w:rsid w:val="00212C5B"/>
    <w:rsid w:val="00214784"/>
    <w:rsid w:val="002167E0"/>
    <w:rsid w:val="00221E97"/>
    <w:rsid w:val="002229FB"/>
    <w:rsid w:val="00223B26"/>
    <w:rsid w:val="00224DDD"/>
    <w:rsid w:val="0022625B"/>
    <w:rsid w:val="00227849"/>
    <w:rsid w:val="002401B6"/>
    <w:rsid w:val="00245A54"/>
    <w:rsid w:val="002465CB"/>
    <w:rsid w:val="00250331"/>
    <w:rsid w:val="002503F9"/>
    <w:rsid w:val="00250DB9"/>
    <w:rsid w:val="0025169C"/>
    <w:rsid w:val="00255994"/>
    <w:rsid w:val="0026002C"/>
    <w:rsid w:val="00261394"/>
    <w:rsid w:val="00264944"/>
    <w:rsid w:val="00264CBF"/>
    <w:rsid w:val="0026548F"/>
    <w:rsid w:val="00265B7A"/>
    <w:rsid w:val="00266DA7"/>
    <w:rsid w:val="002674EF"/>
    <w:rsid w:val="00270E3E"/>
    <w:rsid w:val="00274006"/>
    <w:rsid w:val="0027700A"/>
    <w:rsid w:val="00286052"/>
    <w:rsid w:val="00286C54"/>
    <w:rsid w:val="002A0226"/>
    <w:rsid w:val="002A1815"/>
    <w:rsid w:val="002A3EEA"/>
    <w:rsid w:val="002A6C23"/>
    <w:rsid w:val="002A7BF0"/>
    <w:rsid w:val="002B191C"/>
    <w:rsid w:val="002B33F9"/>
    <w:rsid w:val="002B7247"/>
    <w:rsid w:val="002B778B"/>
    <w:rsid w:val="002B7D87"/>
    <w:rsid w:val="002C17F5"/>
    <w:rsid w:val="002C4DEC"/>
    <w:rsid w:val="002D35F9"/>
    <w:rsid w:val="002D3CA4"/>
    <w:rsid w:val="002D45D1"/>
    <w:rsid w:val="002D6453"/>
    <w:rsid w:val="002D704F"/>
    <w:rsid w:val="002D7B9E"/>
    <w:rsid w:val="002E1AF4"/>
    <w:rsid w:val="002E506C"/>
    <w:rsid w:val="002E773C"/>
    <w:rsid w:val="002F0C65"/>
    <w:rsid w:val="002F1532"/>
    <w:rsid w:val="002F45A7"/>
    <w:rsid w:val="00300203"/>
    <w:rsid w:val="00306342"/>
    <w:rsid w:val="0031045D"/>
    <w:rsid w:val="0031366E"/>
    <w:rsid w:val="00314122"/>
    <w:rsid w:val="003143A8"/>
    <w:rsid w:val="003171CB"/>
    <w:rsid w:val="0032239A"/>
    <w:rsid w:val="00333D82"/>
    <w:rsid w:val="00334B9E"/>
    <w:rsid w:val="00334C3A"/>
    <w:rsid w:val="003420E9"/>
    <w:rsid w:val="00347238"/>
    <w:rsid w:val="00347DE6"/>
    <w:rsid w:val="003503CA"/>
    <w:rsid w:val="00350BBF"/>
    <w:rsid w:val="00351126"/>
    <w:rsid w:val="00353045"/>
    <w:rsid w:val="00355156"/>
    <w:rsid w:val="00365621"/>
    <w:rsid w:val="00373285"/>
    <w:rsid w:val="00374254"/>
    <w:rsid w:val="003765DA"/>
    <w:rsid w:val="0037730D"/>
    <w:rsid w:val="003802DD"/>
    <w:rsid w:val="003815B1"/>
    <w:rsid w:val="003841D8"/>
    <w:rsid w:val="003850A5"/>
    <w:rsid w:val="00393422"/>
    <w:rsid w:val="00394BD9"/>
    <w:rsid w:val="003965B4"/>
    <w:rsid w:val="003978B4"/>
    <w:rsid w:val="003A04E9"/>
    <w:rsid w:val="003A4E0B"/>
    <w:rsid w:val="003B30E2"/>
    <w:rsid w:val="003B5DE8"/>
    <w:rsid w:val="003C1E88"/>
    <w:rsid w:val="003C4A04"/>
    <w:rsid w:val="003C5420"/>
    <w:rsid w:val="003D1411"/>
    <w:rsid w:val="003D37AC"/>
    <w:rsid w:val="003D50C2"/>
    <w:rsid w:val="003D5204"/>
    <w:rsid w:val="003E32B9"/>
    <w:rsid w:val="003E5104"/>
    <w:rsid w:val="003E64F4"/>
    <w:rsid w:val="003F5D25"/>
    <w:rsid w:val="003F611D"/>
    <w:rsid w:val="00401DA3"/>
    <w:rsid w:val="0040299E"/>
    <w:rsid w:val="00410843"/>
    <w:rsid w:val="004203EE"/>
    <w:rsid w:val="00426945"/>
    <w:rsid w:val="00432CF5"/>
    <w:rsid w:val="00432D74"/>
    <w:rsid w:val="00434F04"/>
    <w:rsid w:val="0043784A"/>
    <w:rsid w:val="00437AC4"/>
    <w:rsid w:val="00446FC0"/>
    <w:rsid w:val="00451F0D"/>
    <w:rsid w:val="004575FD"/>
    <w:rsid w:val="0046070B"/>
    <w:rsid w:val="00461E62"/>
    <w:rsid w:val="004678F9"/>
    <w:rsid w:val="00471224"/>
    <w:rsid w:val="004760ED"/>
    <w:rsid w:val="00476C8C"/>
    <w:rsid w:val="004815D5"/>
    <w:rsid w:val="00481A82"/>
    <w:rsid w:val="00482188"/>
    <w:rsid w:val="00484D03"/>
    <w:rsid w:val="00495C6C"/>
    <w:rsid w:val="00496CC6"/>
    <w:rsid w:val="004A0225"/>
    <w:rsid w:val="004A2AD2"/>
    <w:rsid w:val="004A34C6"/>
    <w:rsid w:val="004A43FF"/>
    <w:rsid w:val="004A7F0E"/>
    <w:rsid w:val="004B2699"/>
    <w:rsid w:val="004B2E30"/>
    <w:rsid w:val="004B33A0"/>
    <w:rsid w:val="004B3B3F"/>
    <w:rsid w:val="004B7C40"/>
    <w:rsid w:val="004D1134"/>
    <w:rsid w:val="004D4A36"/>
    <w:rsid w:val="004D7519"/>
    <w:rsid w:val="004D78CB"/>
    <w:rsid w:val="004E0B09"/>
    <w:rsid w:val="004E12B5"/>
    <w:rsid w:val="004E23C2"/>
    <w:rsid w:val="004E2DD3"/>
    <w:rsid w:val="004E4443"/>
    <w:rsid w:val="004E6BDB"/>
    <w:rsid w:val="004E6C24"/>
    <w:rsid w:val="004F15F0"/>
    <w:rsid w:val="00506683"/>
    <w:rsid w:val="005109B9"/>
    <w:rsid w:val="00510D9B"/>
    <w:rsid w:val="0051326B"/>
    <w:rsid w:val="00515345"/>
    <w:rsid w:val="00515875"/>
    <w:rsid w:val="00516C16"/>
    <w:rsid w:val="00522B3E"/>
    <w:rsid w:val="00523038"/>
    <w:rsid w:val="005246A1"/>
    <w:rsid w:val="0052641A"/>
    <w:rsid w:val="005305EB"/>
    <w:rsid w:val="00530E98"/>
    <w:rsid w:val="00534A44"/>
    <w:rsid w:val="005353BC"/>
    <w:rsid w:val="00535CC5"/>
    <w:rsid w:val="0054026A"/>
    <w:rsid w:val="00542FC9"/>
    <w:rsid w:val="00544944"/>
    <w:rsid w:val="00547308"/>
    <w:rsid w:val="005522CA"/>
    <w:rsid w:val="00555174"/>
    <w:rsid w:val="00556440"/>
    <w:rsid w:val="005579D5"/>
    <w:rsid w:val="005664C3"/>
    <w:rsid w:val="00571E54"/>
    <w:rsid w:val="005731F6"/>
    <w:rsid w:val="00575DD4"/>
    <w:rsid w:val="005816CA"/>
    <w:rsid w:val="00583F69"/>
    <w:rsid w:val="00584045"/>
    <w:rsid w:val="00584AED"/>
    <w:rsid w:val="00585F67"/>
    <w:rsid w:val="005956B3"/>
    <w:rsid w:val="005956E7"/>
    <w:rsid w:val="00596512"/>
    <w:rsid w:val="005A34E2"/>
    <w:rsid w:val="005A471F"/>
    <w:rsid w:val="005A7F79"/>
    <w:rsid w:val="005B5045"/>
    <w:rsid w:val="005C39BC"/>
    <w:rsid w:val="005C471A"/>
    <w:rsid w:val="005C69BD"/>
    <w:rsid w:val="005D1E37"/>
    <w:rsid w:val="005D2C2F"/>
    <w:rsid w:val="005D33D1"/>
    <w:rsid w:val="005D61F9"/>
    <w:rsid w:val="005E049D"/>
    <w:rsid w:val="005E1EE1"/>
    <w:rsid w:val="005E4A7E"/>
    <w:rsid w:val="005F333E"/>
    <w:rsid w:val="005F4EA4"/>
    <w:rsid w:val="006002A8"/>
    <w:rsid w:val="00600A8A"/>
    <w:rsid w:val="00603303"/>
    <w:rsid w:val="006040A3"/>
    <w:rsid w:val="00605078"/>
    <w:rsid w:val="006064F5"/>
    <w:rsid w:val="0061225D"/>
    <w:rsid w:val="006165D9"/>
    <w:rsid w:val="00621936"/>
    <w:rsid w:val="00624C0C"/>
    <w:rsid w:val="0062502D"/>
    <w:rsid w:val="00625D03"/>
    <w:rsid w:val="00631C2C"/>
    <w:rsid w:val="0063424E"/>
    <w:rsid w:val="0063559A"/>
    <w:rsid w:val="00654C3E"/>
    <w:rsid w:val="00665945"/>
    <w:rsid w:val="0066716D"/>
    <w:rsid w:val="00671027"/>
    <w:rsid w:val="00671D12"/>
    <w:rsid w:val="0069355A"/>
    <w:rsid w:val="006A7F8A"/>
    <w:rsid w:val="006B0933"/>
    <w:rsid w:val="006B608B"/>
    <w:rsid w:val="006C4417"/>
    <w:rsid w:val="006C6915"/>
    <w:rsid w:val="006C7490"/>
    <w:rsid w:val="006D2914"/>
    <w:rsid w:val="006D5B69"/>
    <w:rsid w:val="006E2965"/>
    <w:rsid w:val="006E39ED"/>
    <w:rsid w:val="006F3E1A"/>
    <w:rsid w:val="006F41B6"/>
    <w:rsid w:val="006F6B61"/>
    <w:rsid w:val="006F7D05"/>
    <w:rsid w:val="007024CE"/>
    <w:rsid w:val="00704623"/>
    <w:rsid w:val="00711BE5"/>
    <w:rsid w:val="007152CA"/>
    <w:rsid w:val="007216AC"/>
    <w:rsid w:val="0072729E"/>
    <w:rsid w:val="00736EFE"/>
    <w:rsid w:val="00750C1A"/>
    <w:rsid w:val="00755711"/>
    <w:rsid w:val="00783561"/>
    <w:rsid w:val="00791E29"/>
    <w:rsid w:val="0079555A"/>
    <w:rsid w:val="007A095F"/>
    <w:rsid w:val="007A0F85"/>
    <w:rsid w:val="007A259F"/>
    <w:rsid w:val="007A26CB"/>
    <w:rsid w:val="007A372E"/>
    <w:rsid w:val="007A42ED"/>
    <w:rsid w:val="007A47E0"/>
    <w:rsid w:val="007A7445"/>
    <w:rsid w:val="007B5DD2"/>
    <w:rsid w:val="007B7167"/>
    <w:rsid w:val="007C65F6"/>
    <w:rsid w:val="007C6FD8"/>
    <w:rsid w:val="007D2238"/>
    <w:rsid w:val="007D5728"/>
    <w:rsid w:val="007D77DC"/>
    <w:rsid w:val="007E03EF"/>
    <w:rsid w:val="007E2D84"/>
    <w:rsid w:val="007E372C"/>
    <w:rsid w:val="007E6BDA"/>
    <w:rsid w:val="007F0CBC"/>
    <w:rsid w:val="007F1D0F"/>
    <w:rsid w:val="007F3C0B"/>
    <w:rsid w:val="007F6B21"/>
    <w:rsid w:val="007F71D1"/>
    <w:rsid w:val="007F7E9B"/>
    <w:rsid w:val="00817A2F"/>
    <w:rsid w:val="00822495"/>
    <w:rsid w:val="00825BF0"/>
    <w:rsid w:val="00826175"/>
    <w:rsid w:val="008271D1"/>
    <w:rsid w:val="0082794C"/>
    <w:rsid w:val="008328F2"/>
    <w:rsid w:val="008376BB"/>
    <w:rsid w:val="00843F11"/>
    <w:rsid w:val="00847542"/>
    <w:rsid w:val="0085056F"/>
    <w:rsid w:val="0085074D"/>
    <w:rsid w:val="0085137B"/>
    <w:rsid w:val="00854A96"/>
    <w:rsid w:val="00854E15"/>
    <w:rsid w:val="00860459"/>
    <w:rsid w:val="00863E70"/>
    <w:rsid w:val="00864E7B"/>
    <w:rsid w:val="00874CC7"/>
    <w:rsid w:val="008757B2"/>
    <w:rsid w:val="00875E84"/>
    <w:rsid w:val="0088191D"/>
    <w:rsid w:val="0088566B"/>
    <w:rsid w:val="00885E86"/>
    <w:rsid w:val="008928FB"/>
    <w:rsid w:val="00895617"/>
    <w:rsid w:val="008A0E54"/>
    <w:rsid w:val="008A1350"/>
    <w:rsid w:val="008A6F62"/>
    <w:rsid w:val="008B03C1"/>
    <w:rsid w:val="008B25B9"/>
    <w:rsid w:val="008B2CFA"/>
    <w:rsid w:val="008B2DB6"/>
    <w:rsid w:val="008B676E"/>
    <w:rsid w:val="008C7695"/>
    <w:rsid w:val="008E027D"/>
    <w:rsid w:val="008F0173"/>
    <w:rsid w:val="008F1AE6"/>
    <w:rsid w:val="008F37D8"/>
    <w:rsid w:val="008F4342"/>
    <w:rsid w:val="008F572E"/>
    <w:rsid w:val="00905459"/>
    <w:rsid w:val="00905798"/>
    <w:rsid w:val="009121E6"/>
    <w:rsid w:val="009130E2"/>
    <w:rsid w:val="00914DFD"/>
    <w:rsid w:val="0091650E"/>
    <w:rsid w:val="009172D7"/>
    <w:rsid w:val="00920DB1"/>
    <w:rsid w:val="00924289"/>
    <w:rsid w:val="00926AAF"/>
    <w:rsid w:val="00927322"/>
    <w:rsid w:val="00930A49"/>
    <w:rsid w:val="00937554"/>
    <w:rsid w:val="00941CD5"/>
    <w:rsid w:val="009444E0"/>
    <w:rsid w:val="00950DBB"/>
    <w:rsid w:val="0095131D"/>
    <w:rsid w:val="00953E53"/>
    <w:rsid w:val="009645A3"/>
    <w:rsid w:val="00965FE5"/>
    <w:rsid w:val="0097218A"/>
    <w:rsid w:val="009725F2"/>
    <w:rsid w:val="0097662F"/>
    <w:rsid w:val="00980083"/>
    <w:rsid w:val="0098615D"/>
    <w:rsid w:val="009912EB"/>
    <w:rsid w:val="00994042"/>
    <w:rsid w:val="009941C3"/>
    <w:rsid w:val="00994860"/>
    <w:rsid w:val="00997F63"/>
    <w:rsid w:val="009A62E5"/>
    <w:rsid w:val="009B2A2F"/>
    <w:rsid w:val="009C1343"/>
    <w:rsid w:val="009C55D5"/>
    <w:rsid w:val="009D186D"/>
    <w:rsid w:val="009D24B6"/>
    <w:rsid w:val="009D2725"/>
    <w:rsid w:val="009D4A8F"/>
    <w:rsid w:val="009D531A"/>
    <w:rsid w:val="009D5A10"/>
    <w:rsid w:val="009D683D"/>
    <w:rsid w:val="009E2FED"/>
    <w:rsid w:val="009E3027"/>
    <w:rsid w:val="009F0C98"/>
    <w:rsid w:val="009F1194"/>
    <w:rsid w:val="009F22D0"/>
    <w:rsid w:val="009F2C64"/>
    <w:rsid w:val="009F3534"/>
    <w:rsid w:val="009F6926"/>
    <w:rsid w:val="00A026B5"/>
    <w:rsid w:val="00A11A00"/>
    <w:rsid w:val="00A14692"/>
    <w:rsid w:val="00A14CB6"/>
    <w:rsid w:val="00A15480"/>
    <w:rsid w:val="00A15589"/>
    <w:rsid w:val="00A157F8"/>
    <w:rsid w:val="00A1639B"/>
    <w:rsid w:val="00A22539"/>
    <w:rsid w:val="00A2281C"/>
    <w:rsid w:val="00A31F70"/>
    <w:rsid w:val="00A33496"/>
    <w:rsid w:val="00A446A3"/>
    <w:rsid w:val="00A44FF0"/>
    <w:rsid w:val="00A46D01"/>
    <w:rsid w:val="00A53D1B"/>
    <w:rsid w:val="00A53DD7"/>
    <w:rsid w:val="00A54B47"/>
    <w:rsid w:val="00A572F9"/>
    <w:rsid w:val="00A57B80"/>
    <w:rsid w:val="00A60F35"/>
    <w:rsid w:val="00A66B44"/>
    <w:rsid w:val="00A701D7"/>
    <w:rsid w:val="00A709E5"/>
    <w:rsid w:val="00A76098"/>
    <w:rsid w:val="00A83E32"/>
    <w:rsid w:val="00A87407"/>
    <w:rsid w:val="00A87563"/>
    <w:rsid w:val="00A92FDD"/>
    <w:rsid w:val="00A956EF"/>
    <w:rsid w:val="00AA3616"/>
    <w:rsid w:val="00AA4A0A"/>
    <w:rsid w:val="00AA69DF"/>
    <w:rsid w:val="00AA78A2"/>
    <w:rsid w:val="00AA7C16"/>
    <w:rsid w:val="00AB3747"/>
    <w:rsid w:val="00AB4F4D"/>
    <w:rsid w:val="00AB68AB"/>
    <w:rsid w:val="00AB7824"/>
    <w:rsid w:val="00AC35D5"/>
    <w:rsid w:val="00AC45D9"/>
    <w:rsid w:val="00AC6724"/>
    <w:rsid w:val="00AC734B"/>
    <w:rsid w:val="00AD2383"/>
    <w:rsid w:val="00AD4366"/>
    <w:rsid w:val="00AD768E"/>
    <w:rsid w:val="00AD779E"/>
    <w:rsid w:val="00AE1C62"/>
    <w:rsid w:val="00AE3006"/>
    <w:rsid w:val="00B01AA2"/>
    <w:rsid w:val="00B0349D"/>
    <w:rsid w:val="00B14D54"/>
    <w:rsid w:val="00B15819"/>
    <w:rsid w:val="00B2078E"/>
    <w:rsid w:val="00B22AA5"/>
    <w:rsid w:val="00B22F3C"/>
    <w:rsid w:val="00B247E4"/>
    <w:rsid w:val="00B30E66"/>
    <w:rsid w:val="00B46743"/>
    <w:rsid w:val="00B51585"/>
    <w:rsid w:val="00B579BD"/>
    <w:rsid w:val="00B62485"/>
    <w:rsid w:val="00B71C2A"/>
    <w:rsid w:val="00B7393B"/>
    <w:rsid w:val="00B75D6B"/>
    <w:rsid w:val="00B7795E"/>
    <w:rsid w:val="00B8346B"/>
    <w:rsid w:val="00B84AF1"/>
    <w:rsid w:val="00B91E8C"/>
    <w:rsid w:val="00B91F25"/>
    <w:rsid w:val="00B92213"/>
    <w:rsid w:val="00B94CD0"/>
    <w:rsid w:val="00BA5E42"/>
    <w:rsid w:val="00BB096A"/>
    <w:rsid w:val="00BB2687"/>
    <w:rsid w:val="00BB63B7"/>
    <w:rsid w:val="00BC461D"/>
    <w:rsid w:val="00BC5ADF"/>
    <w:rsid w:val="00BD10EF"/>
    <w:rsid w:val="00BD1B66"/>
    <w:rsid w:val="00BE0387"/>
    <w:rsid w:val="00BE5DB2"/>
    <w:rsid w:val="00BE6993"/>
    <w:rsid w:val="00BE6995"/>
    <w:rsid w:val="00BE6B1C"/>
    <w:rsid w:val="00BF0340"/>
    <w:rsid w:val="00BF1E37"/>
    <w:rsid w:val="00BF5356"/>
    <w:rsid w:val="00BF55DA"/>
    <w:rsid w:val="00BF7B7A"/>
    <w:rsid w:val="00C00740"/>
    <w:rsid w:val="00C029F6"/>
    <w:rsid w:val="00C07F95"/>
    <w:rsid w:val="00C133C7"/>
    <w:rsid w:val="00C13F40"/>
    <w:rsid w:val="00C170EE"/>
    <w:rsid w:val="00C21A28"/>
    <w:rsid w:val="00C23A9F"/>
    <w:rsid w:val="00C417F0"/>
    <w:rsid w:val="00C41F13"/>
    <w:rsid w:val="00C43C94"/>
    <w:rsid w:val="00C4413B"/>
    <w:rsid w:val="00C53F5E"/>
    <w:rsid w:val="00C56E1C"/>
    <w:rsid w:val="00C62FD0"/>
    <w:rsid w:val="00C65B49"/>
    <w:rsid w:val="00C66272"/>
    <w:rsid w:val="00C70D90"/>
    <w:rsid w:val="00C77B1A"/>
    <w:rsid w:val="00C82E75"/>
    <w:rsid w:val="00C8344E"/>
    <w:rsid w:val="00C849B8"/>
    <w:rsid w:val="00C85908"/>
    <w:rsid w:val="00C86E62"/>
    <w:rsid w:val="00C926B2"/>
    <w:rsid w:val="00CA5DD9"/>
    <w:rsid w:val="00CB0B29"/>
    <w:rsid w:val="00CB20EE"/>
    <w:rsid w:val="00CB2DE8"/>
    <w:rsid w:val="00CC07A9"/>
    <w:rsid w:val="00CC382D"/>
    <w:rsid w:val="00CC6457"/>
    <w:rsid w:val="00CD047F"/>
    <w:rsid w:val="00CD096B"/>
    <w:rsid w:val="00CD1B72"/>
    <w:rsid w:val="00CD31BE"/>
    <w:rsid w:val="00CE0223"/>
    <w:rsid w:val="00CE3FA6"/>
    <w:rsid w:val="00CE4FF0"/>
    <w:rsid w:val="00CF11E4"/>
    <w:rsid w:val="00CF2300"/>
    <w:rsid w:val="00CF33B9"/>
    <w:rsid w:val="00D01331"/>
    <w:rsid w:val="00D02C0C"/>
    <w:rsid w:val="00D12640"/>
    <w:rsid w:val="00D20AC3"/>
    <w:rsid w:val="00D228B0"/>
    <w:rsid w:val="00D229A1"/>
    <w:rsid w:val="00D24894"/>
    <w:rsid w:val="00D25F0B"/>
    <w:rsid w:val="00D34109"/>
    <w:rsid w:val="00D3630E"/>
    <w:rsid w:val="00D41F90"/>
    <w:rsid w:val="00D42EA5"/>
    <w:rsid w:val="00D505D2"/>
    <w:rsid w:val="00D51074"/>
    <w:rsid w:val="00D5321F"/>
    <w:rsid w:val="00D53927"/>
    <w:rsid w:val="00D53FDD"/>
    <w:rsid w:val="00D6286C"/>
    <w:rsid w:val="00D74578"/>
    <w:rsid w:val="00D77FE9"/>
    <w:rsid w:val="00D80A8F"/>
    <w:rsid w:val="00D81BAB"/>
    <w:rsid w:val="00D8366C"/>
    <w:rsid w:val="00D84CF8"/>
    <w:rsid w:val="00D85692"/>
    <w:rsid w:val="00D85758"/>
    <w:rsid w:val="00D85D74"/>
    <w:rsid w:val="00D85F51"/>
    <w:rsid w:val="00D9036D"/>
    <w:rsid w:val="00D916B8"/>
    <w:rsid w:val="00D94F0D"/>
    <w:rsid w:val="00D978AE"/>
    <w:rsid w:val="00DA2031"/>
    <w:rsid w:val="00DA21DE"/>
    <w:rsid w:val="00DA3DFC"/>
    <w:rsid w:val="00DA67D6"/>
    <w:rsid w:val="00DB5B56"/>
    <w:rsid w:val="00DB7335"/>
    <w:rsid w:val="00DC3DB4"/>
    <w:rsid w:val="00DC70EC"/>
    <w:rsid w:val="00DD03CC"/>
    <w:rsid w:val="00DD0D6E"/>
    <w:rsid w:val="00DD3AFA"/>
    <w:rsid w:val="00DD4CA8"/>
    <w:rsid w:val="00DE71DA"/>
    <w:rsid w:val="00DF3A9F"/>
    <w:rsid w:val="00DF6192"/>
    <w:rsid w:val="00DF62F7"/>
    <w:rsid w:val="00DF783B"/>
    <w:rsid w:val="00E1316A"/>
    <w:rsid w:val="00E15390"/>
    <w:rsid w:val="00E15690"/>
    <w:rsid w:val="00E1763F"/>
    <w:rsid w:val="00E2033A"/>
    <w:rsid w:val="00E2055C"/>
    <w:rsid w:val="00E252D5"/>
    <w:rsid w:val="00E2621F"/>
    <w:rsid w:val="00E26DAB"/>
    <w:rsid w:val="00E32A09"/>
    <w:rsid w:val="00E33BDC"/>
    <w:rsid w:val="00E33DA4"/>
    <w:rsid w:val="00E33ED2"/>
    <w:rsid w:val="00E43B54"/>
    <w:rsid w:val="00E53B8B"/>
    <w:rsid w:val="00E62650"/>
    <w:rsid w:val="00E62BA4"/>
    <w:rsid w:val="00E63F91"/>
    <w:rsid w:val="00E647A1"/>
    <w:rsid w:val="00E66151"/>
    <w:rsid w:val="00E71FCA"/>
    <w:rsid w:val="00E735E2"/>
    <w:rsid w:val="00E750B5"/>
    <w:rsid w:val="00E8072F"/>
    <w:rsid w:val="00E81518"/>
    <w:rsid w:val="00E82BA2"/>
    <w:rsid w:val="00E83FB6"/>
    <w:rsid w:val="00E85963"/>
    <w:rsid w:val="00E908EA"/>
    <w:rsid w:val="00E90B19"/>
    <w:rsid w:val="00E90D5D"/>
    <w:rsid w:val="00E9247A"/>
    <w:rsid w:val="00EA09AD"/>
    <w:rsid w:val="00EA0EE0"/>
    <w:rsid w:val="00EA3EE5"/>
    <w:rsid w:val="00EA44B1"/>
    <w:rsid w:val="00EB053A"/>
    <w:rsid w:val="00EB4BB3"/>
    <w:rsid w:val="00EC039E"/>
    <w:rsid w:val="00EC1686"/>
    <w:rsid w:val="00EC169E"/>
    <w:rsid w:val="00EC216E"/>
    <w:rsid w:val="00EC5781"/>
    <w:rsid w:val="00ED0C35"/>
    <w:rsid w:val="00ED1DCE"/>
    <w:rsid w:val="00ED7316"/>
    <w:rsid w:val="00ED7936"/>
    <w:rsid w:val="00ED7AB0"/>
    <w:rsid w:val="00EE43C8"/>
    <w:rsid w:val="00EE47AC"/>
    <w:rsid w:val="00EE4AC8"/>
    <w:rsid w:val="00EF071E"/>
    <w:rsid w:val="00EF1029"/>
    <w:rsid w:val="00F01262"/>
    <w:rsid w:val="00F015CD"/>
    <w:rsid w:val="00F036EC"/>
    <w:rsid w:val="00F1168E"/>
    <w:rsid w:val="00F121F7"/>
    <w:rsid w:val="00F20432"/>
    <w:rsid w:val="00F213BE"/>
    <w:rsid w:val="00F27925"/>
    <w:rsid w:val="00F318D9"/>
    <w:rsid w:val="00F31FA0"/>
    <w:rsid w:val="00F32EEF"/>
    <w:rsid w:val="00F34AF6"/>
    <w:rsid w:val="00F43754"/>
    <w:rsid w:val="00F43D7C"/>
    <w:rsid w:val="00F45E94"/>
    <w:rsid w:val="00F5007F"/>
    <w:rsid w:val="00F5532F"/>
    <w:rsid w:val="00F57B2E"/>
    <w:rsid w:val="00F62058"/>
    <w:rsid w:val="00F6547F"/>
    <w:rsid w:val="00F730EA"/>
    <w:rsid w:val="00F804CC"/>
    <w:rsid w:val="00F81AEF"/>
    <w:rsid w:val="00F83DDB"/>
    <w:rsid w:val="00F875FE"/>
    <w:rsid w:val="00F8778A"/>
    <w:rsid w:val="00F93EA7"/>
    <w:rsid w:val="00F940CA"/>
    <w:rsid w:val="00F943F5"/>
    <w:rsid w:val="00FA06B2"/>
    <w:rsid w:val="00FA56F6"/>
    <w:rsid w:val="00FB240B"/>
    <w:rsid w:val="00FB705F"/>
    <w:rsid w:val="00FB79E6"/>
    <w:rsid w:val="00FC4269"/>
    <w:rsid w:val="00FC4AFE"/>
    <w:rsid w:val="00FC4D8E"/>
    <w:rsid w:val="00FC65C5"/>
    <w:rsid w:val="00FD0035"/>
    <w:rsid w:val="00FD41FE"/>
    <w:rsid w:val="00FD4F79"/>
    <w:rsid w:val="00FD694B"/>
    <w:rsid w:val="00FD7B8E"/>
    <w:rsid w:val="00FE2973"/>
    <w:rsid w:val="00FF00C9"/>
    <w:rsid w:val="00FF34A5"/>
    <w:rsid w:val="00FF5527"/>
    <w:rsid w:val="00FF555C"/>
    <w:rsid w:val="00FF6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85501"/>
  <w15:docId w15:val="{D9B8B8D1-0949-48B7-BE1F-688A598CE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1F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0E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F0E95"/>
    <w:rPr>
      <w:rFonts w:ascii="Tahoma" w:hAnsi="Tahoma" w:cs="Tahoma"/>
      <w:sz w:val="16"/>
      <w:szCs w:val="16"/>
    </w:rPr>
  </w:style>
  <w:style w:type="character" w:customStyle="1" w:styleId="BalloonTextChar">
    <w:name w:val="Balloon Text Char"/>
    <w:basedOn w:val="DefaultParagraphFont"/>
    <w:link w:val="BalloonText"/>
    <w:uiPriority w:val="99"/>
    <w:semiHidden/>
    <w:rsid w:val="001F0E95"/>
    <w:rPr>
      <w:rFonts w:ascii="Tahoma" w:hAnsi="Tahoma" w:cs="Tahoma"/>
      <w:sz w:val="16"/>
      <w:szCs w:val="16"/>
    </w:rPr>
  </w:style>
  <w:style w:type="paragraph" w:styleId="Header">
    <w:name w:val="header"/>
    <w:basedOn w:val="Normal"/>
    <w:link w:val="HeaderChar"/>
    <w:uiPriority w:val="99"/>
    <w:unhideWhenUsed/>
    <w:rsid w:val="00864E7B"/>
    <w:pPr>
      <w:tabs>
        <w:tab w:val="center" w:pos="4680"/>
        <w:tab w:val="right" w:pos="9360"/>
      </w:tabs>
    </w:pPr>
  </w:style>
  <w:style w:type="character" w:customStyle="1" w:styleId="HeaderChar">
    <w:name w:val="Header Char"/>
    <w:basedOn w:val="DefaultParagraphFont"/>
    <w:link w:val="Header"/>
    <w:uiPriority w:val="99"/>
    <w:rsid w:val="00864E7B"/>
  </w:style>
  <w:style w:type="paragraph" w:styleId="Footer">
    <w:name w:val="footer"/>
    <w:basedOn w:val="Normal"/>
    <w:link w:val="FooterChar"/>
    <w:uiPriority w:val="99"/>
    <w:unhideWhenUsed/>
    <w:rsid w:val="00864E7B"/>
    <w:pPr>
      <w:tabs>
        <w:tab w:val="center" w:pos="4680"/>
        <w:tab w:val="right" w:pos="9360"/>
      </w:tabs>
    </w:pPr>
  </w:style>
  <w:style w:type="character" w:customStyle="1" w:styleId="FooterChar">
    <w:name w:val="Footer Char"/>
    <w:basedOn w:val="DefaultParagraphFont"/>
    <w:link w:val="Footer"/>
    <w:uiPriority w:val="99"/>
    <w:rsid w:val="00864E7B"/>
  </w:style>
  <w:style w:type="paragraph" w:styleId="ListParagraph">
    <w:name w:val="List Paragraph"/>
    <w:basedOn w:val="Normal"/>
    <w:uiPriority w:val="34"/>
    <w:qFormat/>
    <w:rsid w:val="004B33A0"/>
    <w:pPr>
      <w:ind w:left="720"/>
      <w:contextualSpacing/>
    </w:pPr>
  </w:style>
  <w:style w:type="character" w:styleId="Strong">
    <w:name w:val="Strong"/>
    <w:basedOn w:val="DefaultParagraphFont"/>
    <w:uiPriority w:val="22"/>
    <w:qFormat/>
    <w:rsid w:val="00A53D1B"/>
    <w:rPr>
      <w:b/>
      <w:bCs/>
    </w:rPr>
  </w:style>
  <w:style w:type="paragraph" w:styleId="NormalWeb">
    <w:name w:val="Normal (Web)"/>
    <w:basedOn w:val="Normal"/>
    <w:uiPriority w:val="99"/>
    <w:unhideWhenUsed/>
    <w:rsid w:val="00A83E32"/>
    <w:pPr>
      <w:spacing w:before="100" w:beforeAutospacing="1" w:after="100" w:afterAutospacing="1"/>
    </w:pPr>
  </w:style>
  <w:style w:type="paragraph" w:styleId="FootnoteText">
    <w:name w:val="footnote text"/>
    <w:basedOn w:val="Normal"/>
    <w:link w:val="FootnoteTextChar"/>
    <w:uiPriority w:val="99"/>
    <w:semiHidden/>
    <w:unhideWhenUsed/>
    <w:rsid w:val="00D228B0"/>
    <w:rPr>
      <w:sz w:val="20"/>
      <w:szCs w:val="20"/>
    </w:rPr>
  </w:style>
  <w:style w:type="character" w:customStyle="1" w:styleId="FootnoteTextChar">
    <w:name w:val="Footnote Text Char"/>
    <w:basedOn w:val="DefaultParagraphFont"/>
    <w:link w:val="FootnoteText"/>
    <w:uiPriority w:val="99"/>
    <w:semiHidden/>
    <w:rsid w:val="00D228B0"/>
    <w:rPr>
      <w:sz w:val="20"/>
      <w:szCs w:val="20"/>
    </w:rPr>
  </w:style>
  <w:style w:type="character" w:styleId="FootnoteReference">
    <w:name w:val="footnote reference"/>
    <w:aliases w:val="Footnote,Footnote text,ftref,BearingPoint,16 Point,Superscript 6 Point,fr,Footnote Text1,f,(NECG) Footnote Reference, BVI fnr,footnote ref,BVI fnr,Ref,de nota al pie,Footnote + Arial,10 pt,Black,Footnote Text11,10 p,SUPERS,f1,1,Re,BVI"/>
    <w:basedOn w:val="DefaultParagraphFont"/>
    <w:unhideWhenUsed/>
    <w:qFormat/>
    <w:rsid w:val="00D228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66213">
      <w:bodyDiv w:val="1"/>
      <w:marLeft w:val="0"/>
      <w:marRight w:val="0"/>
      <w:marTop w:val="0"/>
      <w:marBottom w:val="0"/>
      <w:divBdr>
        <w:top w:val="none" w:sz="0" w:space="0" w:color="auto"/>
        <w:left w:val="none" w:sz="0" w:space="0" w:color="auto"/>
        <w:bottom w:val="none" w:sz="0" w:space="0" w:color="auto"/>
        <w:right w:val="none" w:sz="0" w:space="0" w:color="auto"/>
      </w:divBdr>
    </w:div>
    <w:div w:id="51271086">
      <w:bodyDiv w:val="1"/>
      <w:marLeft w:val="0"/>
      <w:marRight w:val="0"/>
      <w:marTop w:val="0"/>
      <w:marBottom w:val="0"/>
      <w:divBdr>
        <w:top w:val="none" w:sz="0" w:space="0" w:color="auto"/>
        <w:left w:val="none" w:sz="0" w:space="0" w:color="auto"/>
        <w:bottom w:val="none" w:sz="0" w:space="0" w:color="auto"/>
        <w:right w:val="none" w:sz="0" w:space="0" w:color="auto"/>
      </w:divBdr>
    </w:div>
    <w:div w:id="126049374">
      <w:bodyDiv w:val="1"/>
      <w:marLeft w:val="0"/>
      <w:marRight w:val="0"/>
      <w:marTop w:val="0"/>
      <w:marBottom w:val="0"/>
      <w:divBdr>
        <w:top w:val="none" w:sz="0" w:space="0" w:color="auto"/>
        <w:left w:val="none" w:sz="0" w:space="0" w:color="auto"/>
        <w:bottom w:val="none" w:sz="0" w:space="0" w:color="auto"/>
        <w:right w:val="none" w:sz="0" w:space="0" w:color="auto"/>
      </w:divBdr>
    </w:div>
    <w:div w:id="186259621">
      <w:bodyDiv w:val="1"/>
      <w:marLeft w:val="0"/>
      <w:marRight w:val="0"/>
      <w:marTop w:val="0"/>
      <w:marBottom w:val="0"/>
      <w:divBdr>
        <w:top w:val="none" w:sz="0" w:space="0" w:color="auto"/>
        <w:left w:val="none" w:sz="0" w:space="0" w:color="auto"/>
        <w:bottom w:val="none" w:sz="0" w:space="0" w:color="auto"/>
        <w:right w:val="none" w:sz="0" w:space="0" w:color="auto"/>
      </w:divBdr>
    </w:div>
    <w:div w:id="295262995">
      <w:bodyDiv w:val="1"/>
      <w:marLeft w:val="0"/>
      <w:marRight w:val="0"/>
      <w:marTop w:val="0"/>
      <w:marBottom w:val="0"/>
      <w:divBdr>
        <w:top w:val="none" w:sz="0" w:space="0" w:color="auto"/>
        <w:left w:val="none" w:sz="0" w:space="0" w:color="auto"/>
        <w:bottom w:val="none" w:sz="0" w:space="0" w:color="auto"/>
        <w:right w:val="none" w:sz="0" w:space="0" w:color="auto"/>
      </w:divBdr>
    </w:div>
    <w:div w:id="359353758">
      <w:bodyDiv w:val="1"/>
      <w:marLeft w:val="0"/>
      <w:marRight w:val="0"/>
      <w:marTop w:val="0"/>
      <w:marBottom w:val="0"/>
      <w:divBdr>
        <w:top w:val="none" w:sz="0" w:space="0" w:color="auto"/>
        <w:left w:val="none" w:sz="0" w:space="0" w:color="auto"/>
        <w:bottom w:val="none" w:sz="0" w:space="0" w:color="auto"/>
        <w:right w:val="none" w:sz="0" w:space="0" w:color="auto"/>
      </w:divBdr>
    </w:div>
    <w:div w:id="362099219">
      <w:bodyDiv w:val="1"/>
      <w:marLeft w:val="0"/>
      <w:marRight w:val="0"/>
      <w:marTop w:val="0"/>
      <w:marBottom w:val="0"/>
      <w:divBdr>
        <w:top w:val="none" w:sz="0" w:space="0" w:color="auto"/>
        <w:left w:val="none" w:sz="0" w:space="0" w:color="auto"/>
        <w:bottom w:val="none" w:sz="0" w:space="0" w:color="auto"/>
        <w:right w:val="none" w:sz="0" w:space="0" w:color="auto"/>
      </w:divBdr>
    </w:div>
    <w:div w:id="408161723">
      <w:bodyDiv w:val="1"/>
      <w:marLeft w:val="0"/>
      <w:marRight w:val="0"/>
      <w:marTop w:val="0"/>
      <w:marBottom w:val="0"/>
      <w:divBdr>
        <w:top w:val="none" w:sz="0" w:space="0" w:color="auto"/>
        <w:left w:val="none" w:sz="0" w:space="0" w:color="auto"/>
        <w:bottom w:val="none" w:sz="0" w:space="0" w:color="auto"/>
        <w:right w:val="none" w:sz="0" w:space="0" w:color="auto"/>
      </w:divBdr>
      <w:divsChild>
        <w:div w:id="414398418">
          <w:marLeft w:val="0"/>
          <w:marRight w:val="0"/>
          <w:marTop w:val="0"/>
          <w:marBottom w:val="0"/>
          <w:divBdr>
            <w:top w:val="none" w:sz="0" w:space="0" w:color="auto"/>
            <w:left w:val="none" w:sz="0" w:space="0" w:color="auto"/>
            <w:bottom w:val="none" w:sz="0" w:space="0" w:color="auto"/>
            <w:right w:val="none" w:sz="0" w:space="0" w:color="auto"/>
          </w:divBdr>
          <w:divsChild>
            <w:div w:id="1710497534">
              <w:marLeft w:val="0"/>
              <w:marRight w:val="0"/>
              <w:marTop w:val="0"/>
              <w:marBottom w:val="0"/>
              <w:divBdr>
                <w:top w:val="none" w:sz="0" w:space="0" w:color="auto"/>
                <w:left w:val="none" w:sz="0" w:space="0" w:color="auto"/>
                <w:bottom w:val="none" w:sz="0" w:space="0" w:color="auto"/>
                <w:right w:val="none" w:sz="0" w:space="0" w:color="auto"/>
              </w:divBdr>
              <w:divsChild>
                <w:div w:id="150104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481024">
      <w:bodyDiv w:val="1"/>
      <w:marLeft w:val="0"/>
      <w:marRight w:val="0"/>
      <w:marTop w:val="0"/>
      <w:marBottom w:val="0"/>
      <w:divBdr>
        <w:top w:val="none" w:sz="0" w:space="0" w:color="auto"/>
        <w:left w:val="none" w:sz="0" w:space="0" w:color="auto"/>
        <w:bottom w:val="none" w:sz="0" w:space="0" w:color="auto"/>
        <w:right w:val="none" w:sz="0" w:space="0" w:color="auto"/>
      </w:divBdr>
    </w:div>
    <w:div w:id="440611986">
      <w:bodyDiv w:val="1"/>
      <w:marLeft w:val="0"/>
      <w:marRight w:val="0"/>
      <w:marTop w:val="0"/>
      <w:marBottom w:val="0"/>
      <w:divBdr>
        <w:top w:val="none" w:sz="0" w:space="0" w:color="auto"/>
        <w:left w:val="none" w:sz="0" w:space="0" w:color="auto"/>
        <w:bottom w:val="none" w:sz="0" w:space="0" w:color="auto"/>
        <w:right w:val="none" w:sz="0" w:space="0" w:color="auto"/>
      </w:divBdr>
    </w:div>
    <w:div w:id="495269944">
      <w:bodyDiv w:val="1"/>
      <w:marLeft w:val="0"/>
      <w:marRight w:val="0"/>
      <w:marTop w:val="0"/>
      <w:marBottom w:val="0"/>
      <w:divBdr>
        <w:top w:val="none" w:sz="0" w:space="0" w:color="auto"/>
        <w:left w:val="none" w:sz="0" w:space="0" w:color="auto"/>
        <w:bottom w:val="none" w:sz="0" w:space="0" w:color="auto"/>
        <w:right w:val="none" w:sz="0" w:space="0" w:color="auto"/>
      </w:divBdr>
    </w:div>
    <w:div w:id="505362420">
      <w:bodyDiv w:val="1"/>
      <w:marLeft w:val="0"/>
      <w:marRight w:val="0"/>
      <w:marTop w:val="0"/>
      <w:marBottom w:val="0"/>
      <w:divBdr>
        <w:top w:val="none" w:sz="0" w:space="0" w:color="auto"/>
        <w:left w:val="none" w:sz="0" w:space="0" w:color="auto"/>
        <w:bottom w:val="none" w:sz="0" w:space="0" w:color="auto"/>
        <w:right w:val="none" w:sz="0" w:space="0" w:color="auto"/>
      </w:divBdr>
    </w:div>
    <w:div w:id="547575203">
      <w:bodyDiv w:val="1"/>
      <w:marLeft w:val="0"/>
      <w:marRight w:val="0"/>
      <w:marTop w:val="0"/>
      <w:marBottom w:val="0"/>
      <w:divBdr>
        <w:top w:val="none" w:sz="0" w:space="0" w:color="auto"/>
        <w:left w:val="none" w:sz="0" w:space="0" w:color="auto"/>
        <w:bottom w:val="none" w:sz="0" w:space="0" w:color="auto"/>
        <w:right w:val="none" w:sz="0" w:space="0" w:color="auto"/>
      </w:divBdr>
    </w:div>
    <w:div w:id="548806095">
      <w:bodyDiv w:val="1"/>
      <w:marLeft w:val="0"/>
      <w:marRight w:val="0"/>
      <w:marTop w:val="0"/>
      <w:marBottom w:val="0"/>
      <w:divBdr>
        <w:top w:val="none" w:sz="0" w:space="0" w:color="auto"/>
        <w:left w:val="none" w:sz="0" w:space="0" w:color="auto"/>
        <w:bottom w:val="none" w:sz="0" w:space="0" w:color="auto"/>
        <w:right w:val="none" w:sz="0" w:space="0" w:color="auto"/>
      </w:divBdr>
    </w:div>
    <w:div w:id="553196309">
      <w:bodyDiv w:val="1"/>
      <w:marLeft w:val="0"/>
      <w:marRight w:val="0"/>
      <w:marTop w:val="0"/>
      <w:marBottom w:val="0"/>
      <w:divBdr>
        <w:top w:val="none" w:sz="0" w:space="0" w:color="auto"/>
        <w:left w:val="none" w:sz="0" w:space="0" w:color="auto"/>
        <w:bottom w:val="none" w:sz="0" w:space="0" w:color="auto"/>
        <w:right w:val="none" w:sz="0" w:space="0" w:color="auto"/>
      </w:divBdr>
    </w:div>
    <w:div w:id="579221849">
      <w:bodyDiv w:val="1"/>
      <w:marLeft w:val="0"/>
      <w:marRight w:val="0"/>
      <w:marTop w:val="0"/>
      <w:marBottom w:val="0"/>
      <w:divBdr>
        <w:top w:val="none" w:sz="0" w:space="0" w:color="auto"/>
        <w:left w:val="none" w:sz="0" w:space="0" w:color="auto"/>
        <w:bottom w:val="none" w:sz="0" w:space="0" w:color="auto"/>
        <w:right w:val="none" w:sz="0" w:space="0" w:color="auto"/>
      </w:divBdr>
    </w:div>
    <w:div w:id="596330115">
      <w:bodyDiv w:val="1"/>
      <w:marLeft w:val="0"/>
      <w:marRight w:val="0"/>
      <w:marTop w:val="0"/>
      <w:marBottom w:val="0"/>
      <w:divBdr>
        <w:top w:val="none" w:sz="0" w:space="0" w:color="auto"/>
        <w:left w:val="none" w:sz="0" w:space="0" w:color="auto"/>
        <w:bottom w:val="none" w:sz="0" w:space="0" w:color="auto"/>
        <w:right w:val="none" w:sz="0" w:space="0" w:color="auto"/>
      </w:divBdr>
    </w:div>
    <w:div w:id="612521063">
      <w:bodyDiv w:val="1"/>
      <w:marLeft w:val="0"/>
      <w:marRight w:val="0"/>
      <w:marTop w:val="0"/>
      <w:marBottom w:val="0"/>
      <w:divBdr>
        <w:top w:val="none" w:sz="0" w:space="0" w:color="auto"/>
        <w:left w:val="none" w:sz="0" w:space="0" w:color="auto"/>
        <w:bottom w:val="none" w:sz="0" w:space="0" w:color="auto"/>
        <w:right w:val="none" w:sz="0" w:space="0" w:color="auto"/>
      </w:divBdr>
    </w:div>
    <w:div w:id="628047989">
      <w:bodyDiv w:val="1"/>
      <w:marLeft w:val="0"/>
      <w:marRight w:val="0"/>
      <w:marTop w:val="0"/>
      <w:marBottom w:val="0"/>
      <w:divBdr>
        <w:top w:val="none" w:sz="0" w:space="0" w:color="auto"/>
        <w:left w:val="none" w:sz="0" w:space="0" w:color="auto"/>
        <w:bottom w:val="none" w:sz="0" w:space="0" w:color="auto"/>
        <w:right w:val="none" w:sz="0" w:space="0" w:color="auto"/>
      </w:divBdr>
    </w:div>
    <w:div w:id="725447076">
      <w:bodyDiv w:val="1"/>
      <w:marLeft w:val="0"/>
      <w:marRight w:val="0"/>
      <w:marTop w:val="0"/>
      <w:marBottom w:val="0"/>
      <w:divBdr>
        <w:top w:val="none" w:sz="0" w:space="0" w:color="auto"/>
        <w:left w:val="none" w:sz="0" w:space="0" w:color="auto"/>
        <w:bottom w:val="none" w:sz="0" w:space="0" w:color="auto"/>
        <w:right w:val="none" w:sz="0" w:space="0" w:color="auto"/>
      </w:divBdr>
    </w:div>
    <w:div w:id="737677697">
      <w:bodyDiv w:val="1"/>
      <w:marLeft w:val="0"/>
      <w:marRight w:val="0"/>
      <w:marTop w:val="0"/>
      <w:marBottom w:val="0"/>
      <w:divBdr>
        <w:top w:val="none" w:sz="0" w:space="0" w:color="auto"/>
        <w:left w:val="none" w:sz="0" w:space="0" w:color="auto"/>
        <w:bottom w:val="none" w:sz="0" w:space="0" w:color="auto"/>
        <w:right w:val="none" w:sz="0" w:space="0" w:color="auto"/>
      </w:divBdr>
    </w:div>
    <w:div w:id="778988984">
      <w:bodyDiv w:val="1"/>
      <w:marLeft w:val="0"/>
      <w:marRight w:val="0"/>
      <w:marTop w:val="0"/>
      <w:marBottom w:val="0"/>
      <w:divBdr>
        <w:top w:val="none" w:sz="0" w:space="0" w:color="auto"/>
        <w:left w:val="none" w:sz="0" w:space="0" w:color="auto"/>
        <w:bottom w:val="none" w:sz="0" w:space="0" w:color="auto"/>
        <w:right w:val="none" w:sz="0" w:space="0" w:color="auto"/>
      </w:divBdr>
    </w:div>
    <w:div w:id="796609362">
      <w:bodyDiv w:val="1"/>
      <w:marLeft w:val="0"/>
      <w:marRight w:val="0"/>
      <w:marTop w:val="0"/>
      <w:marBottom w:val="0"/>
      <w:divBdr>
        <w:top w:val="none" w:sz="0" w:space="0" w:color="auto"/>
        <w:left w:val="none" w:sz="0" w:space="0" w:color="auto"/>
        <w:bottom w:val="none" w:sz="0" w:space="0" w:color="auto"/>
        <w:right w:val="none" w:sz="0" w:space="0" w:color="auto"/>
      </w:divBdr>
    </w:div>
    <w:div w:id="811675020">
      <w:bodyDiv w:val="1"/>
      <w:marLeft w:val="0"/>
      <w:marRight w:val="0"/>
      <w:marTop w:val="0"/>
      <w:marBottom w:val="0"/>
      <w:divBdr>
        <w:top w:val="none" w:sz="0" w:space="0" w:color="auto"/>
        <w:left w:val="none" w:sz="0" w:space="0" w:color="auto"/>
        <w:bottom w:val="none" w:sz="0" w:space="0" w:color="auto"/>
        <w:right w:val="none" w:sz="0" w:space="0" w:color="auto"/>
      </w:divBdr>
    </w:div>
    <w:div w:id="872958317">
      <w:bodyDiv w:val="1"/>
      <w:marLeft w:val="0"/>
      <w:marRight w:val="0"/>
      <w:marTop w:val="0"/>
      <w:marBottom w:val="0"/>
      <w:divBdr>
        <w:top w:val="none" w:sz="0" w:space="0" w:color="auto"/>
        <w:left w:val="none" w:sz="0" w:space="0" w:color="auto"/>
        <w:bottom w:val="none" w:sz="0" w:space="0" w:color="auto"/>
        <w:right w:val="none" w:sz="0" w:space="0" w:color="auto"/>
      </w:divBdr>
    </w:div>
    <w:div w:id="885070817">
      <w:bodyDiv w:val="1"/>
      <w:marLeft w:val="0"/>
      <w:marRight w:val="0"/>
      <w:marTop w:val="0"/>
      <w:marBottom w:val="0"/>
      <w:divBdr>
        <w:top w:val="none" w:sz="0" w:space="0" w:color="auto"/>
        <w:left w:val="none" w:sz="0" w:space="0" w:color="auto"/>
        <w:bottom w:val="none" w:sz="0" w:space="0" w:color="auto"/>
        <w:right w:val="none" w:sz="0" w:space="0" w:color="auto"/>
      </w:divBdr>
    </w:div>
    <w:div w:id="967204309">
      <w:bodyDiv w:val="1"/>
      <w:marLeft w:val="0"/>
      <w:marRight w:val="0"/>
      <w:marTop w:val="0"/>
      <w:marBottom w:val="0"/>
      <w:divBdr>
        <w:top w:val="none" w:sz="0" w:space="0" w:color="auto"/>
        <w:left w:val="none" w:sz="0" w:space="0" w:color="auto"/>
        <w:bottom w:val="none" w:sz="0" w:space="0" w:color="auto"/>
        <w:right w:val="none" w:sz="0" w:space="0" w:color="auto"/>
      </w:divBdr>
    </w:div>
    <w:div w:id="972902501">
      <w:bodyDiv w:val="1"/>
      <w:marLeft w:val="0"/>
      <w:marRight w:val="0"/>
      <w:marTop w:val="0"/>
      <w:marBottom w:val="0"/>
      <w:divBdr>
        <w:top w:val="none" w:sz="0" w:space="0" w:color="auto"/>
        <w:left w:val="none" w:sz="0" w:space="0" w:color="auto"/>
        <w:bottom w:val="none" w:sz="0" w:space="0" w:color="auto"/>
        <w:right w:val="none" w:sz="0" w:space="0" w:color="auto"/>
      </w:divBdr>
    </w:div>
    <w:div w:id="973950757">
      <w:bodyDiv w:val="1"/>
      <w:marLeft w:val="0"/>
      <w:marRight w:val="0"/>
      <w:marTop w:val="0"/>
      <w:marBottom w:val="0"/>
      <w:divBdr>
        <w:top w:val="none" w:sz="0" w:space="0" w:color="auto"/>
        <w:left w:val="none" w:sz="0" w:space="0" w:color="auto"/>
        <w:bottom w:val="none" w:sz="0" w:space="0" w:color="auto"/>
        <w:right w:val="none" w:sz="0" w:space="0" w:color="auto"/>
      </w:divBdr>
    </w:div>
    <w:div w:id="1047145492">
      <w:bodyDiv w:val="1"/>
      <w:marLeft w:val="0"/>
      <w:marRight w:val="0"/>
      <w:marTop w:val="0"/>
      <w:marBottom w:val="0"/>
      <w:divBdr>
        <w:top w:val="none" w:sz="0" w:space="0" w:color="auto"/>
        <w:left w:val="none" w:sz="0" w:space="0" w:color="auto"/>
        <w:bottom w:val="none" w:sz="0" w:space="0" w:color="auto"/>
        <w:right w:val="none" w:sz="0" w:space="0" w:color="auto"/>
      </w:divBdr>
    </w:div>
    <w:div w:id="1169560930">
      <w:bodyDiv w:val="1"/>
      <w:marLeft w:val="0"/>
      <w:marRight w:val="0"/>
      <w:marTop w:val="0"/>
      <w:marBottom w:val="0"/>
      <w:divBdr>
        <w:top w:val="none" w:sz="0" w:space="0" w:color="auto"/>
        <w:left w:val="none" w:sz="0" w:space="0" w:color="auto"/>
        <w:bottom w:val="none" w:sz="0" w:space="0" w:color="auto"/>
        <w:right w:val="none" w:sz="0" w:space="0" w:color="auto"/>
      </w:divBdr>
    </w:div>
    <w:div w:id="1199660111">
      <w:bodyDiv w:val="1"/>
      <w:marLeft w:val="0"/>
      <w:marRight w:val="0"/>
      <w:marTop w:val="0"/>
      <w:marBottom w:val="0"/>
      <w:divBdr>
        <w:top w:val="none" w:sz="0" w:space="0" w:color="auto"/>
        <w:left w:val="none" w:sz="0" w:space="0" w:color="auto"/>
        <w:bottom w:val="none" w:sz="0" w:space="0" w:color="auto"/>
        <w:right w:val="none" w:sz="0" w:space="0" w:color="auto"/>
      </w:divBdr>
    </w:div>
    <w:div w:id="1200705367">
      <w:bodyDiv w:val="1"/>
      <w:marLeft w:val="0"/>
      <w:marRight w:val="0"/>
      <w:marTop w:val="0"/>
      <w:marBottom w:val="0"/>
      <w:divBdr>
        <w:top w:val="none" w:sz="0" w:space="0" w:color="auto"/>
        <w:left w:val="none" w:sz="0" w:space="0" w:color="auto"/>
        <w:bottom w:val="none" w:sz="0" w:space="0" w:color="auto"/>
        <w:right w:val="none" w:sz="0" w:space="0" w:color="auto"/>
      </w:divBdr>
    </w:div>
    <w:div w:id="1209805896">
      <w:bodyDiv w:val="1"/>
      <w:marLeft w:val="0"/>
      <w:marRight w:val="0"/>
      <w:marTop w:val="0"/>
      <w:marBottom w:val="0"/>
      <w:divBdr>
        <w:top w:val="none" w:sz="0" w:space="0" w:color="auto"/>
        <w:left w:val="none" w:sz="0" w:space="0" w:color="auto"/>
        <w:bottom w:val="none" w:sz="0" w:space="0" w:color="auto"/>
        <w:right w:val="none" w:sz="0" w:space="0" w:color="auto"/>
      </w:divBdr>
    </w:div>
    <w:div w:id="1292785792">
      <w:bodyDiv w:val="1"/>
      <w:marLeft w:val="0"/>
      <w:marRight w:val="0"/>
      <w:marTop w:val="0"/>
      <w:marBottom w:val="0"/>
      <w:divBdr>
        <w:top w:val="none" w:sz="0" w:space="0" w:color="auto"/>
        <w:left w:val="none" w:sz="0" w:space="0" w:color="auto"/>
        <w:bottom w:val="none" w:sz="0" w:space="0" w:color="auto"/>
        <w:right w:val="none" w:sz="0" w:space="0" w:color="auto"/>
      </w:divBdr>
    </w:div>
    <w:div w:id="1294671620">
      <w:bodyDiv w:val="1"/>
      <w:marLeft w:val="0"/>
      <w:marRight w:val="0"/>
      <w:marTop w:val="0"/>
      <w:marBottom w:val="0"/>
      <w:divBdr>
        <w:top w:val="none" w:sz="0" w:space="0" w:color="auto"/>
        <w:left w:val="none" w:sz="0" w:space="0" w:color="auto"/>
        <w:bottom w:val="none" w:sz="0" w:space="0" w:color="auto"/>
        <w:right w:val="none" w:sz="0" w:space="0" w:color="auto"/>
      </w:divBdr>
    </w:div>
    <w:div w:id="1311901512">
      <w:bodyDiv w:val="1"/>
      <w:marLeft w:val="0"/>
      <w:marRight w:val="0"/>
      <w:marTop w:val="0"/>
      <w:marBottom w:val="0"/>
      <w:divBdr>
        <w:top w:val="none" w:sz="0" w:space="0" w:color="auto"/>
        <w:left w:val="none" w:sz="0" w:space="0" w:color="auto"/>
        <w:bottom w:val="none" w:sz="0" w:space="0" w:color="auto"/>
        <w:right w:val="none" w:sz="0" w:space="0" w:color="auto"/>
      </w:divBdr>
    </w:div>
    <w:div w:id="1332759923">
      <w:bodyDiv w:val="1"/>
      <w:marLeft w:val="0"/>
      <w:marRight w:val="0"/>
      <w:marTop w:val="0"/>
      <w:marBottom w:val="0"/>
      <w:divBdr>
        <w:top w:val="none" w:sz="0" w:space="0" w:color="auto"/>
        <w:left w:val="none" w:sz="0" w:space="0" w:color="auto"/>
        <w:bottom w:val="none" w:sz="0" w:space="0" w:color="auto"/>
        <w:right w:val="none" w:sz="0" w:space="0" w:color="auto"/>
      </w:divBdr>
    </w:div>
    <w:div w:id="1341615737">
      <w:bodyDiv w:val="1"/>
      <w:marLeft w:val="0"/>
      <w:marRight w:val="0"/>
      <w:marTop w:val="0"/>
      <w:marBottom w:val="0"/>
      <w:divBdr>
        <w:top w:val="none" w:sz="0" w:space="0" w:color="auto"/>
        <w:left w:val="none" w:sz="0" w:space="0" w:color="auto"/>
        <w:bottom w:val="none" w:sz="0" w:space="0" w:color="auto"/>
        <w:right w:val="none" w:sz="0" w:space="0" w:color="auto"/>
      </w:divBdr>
    </w:div>
    <w:div w:id="1403942230">
      <w:bodyDiv w:val="1"/>
      <w:marLeft w:val="0"/>
      <w:marRight w:val="0"/>
      <w:marTop w:val="0"/>
      <w:marBottom w:val="0"/>
      <w:divBdr>
        <w:top w:val="none" w:sz="0" w:space="0" w:color="auto"/>
        <w:left w:val="none" w:sz="0" w:space="0" w:color="auto"/>
        <w:bottom w:val="none" w:sz="0" w:space="0" w:color="auto"/>
        <w:right w:val="none" w:sz="0" w:space="0" w:color="auto"/>
      </w:divBdr>
    </w:div>
    <w:div w:id="1451392952">
      <w:bodyDiv w:val="1"/>
      <w:marLeft w:val="0"/>
      <w:marRight w:val="0"/>
      <w:marTop w:val="0"/>
      <w:marBottom w:val="0"/>
      <w:divBdr>
        <w:top w:val="none" w:sz="0" w:space="0" w:color="auto"/>
        <w:left w:val="none" w:sz="0" w:space="0" w:color="auto"/>
        <w:bottom w:val="none" w:sz="0" w:space="0" w:color="auto"/>
        <w:right w:val="none" w:sz="0" w:space="0" w:color="auto"/>
      </w:divBdr>
    </w:div>
    <w:div w:id="1474443092">
      <w:bodyDiv w:val="1"/>
      <w:marLeft w:val="0"/>
      <w:marRight w:val="0"/>
      <w:marTop w:val="0"/>
      <w:marBottom w:val="0"/>
      <w:divBdr>
        <w:top w:val="none" w:sz="0" w:space="0" w:color="auto"/>
        <w:left w:val="none" w:sz="0" w:space="0" w:color="auto"/>
        <w:bottom w:val="none" w:sz="0" w:space="0" w:color="auto"/>
        <w:right w:val="none" w:sz="0" w:space="0" w:color="auto"/>
      </w:divBdr>
    </w:div>
    <w:div w:id="1478962154">
      <w:bodyDiv w:val="1"/>
      <w:marLeft w:val="0"/>
      <w:marRight w:val="0"/>
      <w:marTop w:val="0"/>
      <w:marBottom w:val="0"/>
      <w:divBdr>
        <w:top w:val="none" w:sz="0" w:space="0" w:color="auto"/>
        <w:left w:val="none" w:sz="0" w:space="0" w:color="auto"/>
        <w:bottom w:val="none" w:sz="0" w:space="0" w:color="auto"/>
        <w:right w:val="none" w:sz="0" w:space="0" w:color="auto"/>
      </w:divBdr>
    </w:div>
    <w:div w:id="1577476804">
      <w:bodyDiv w:val="1"/>
      <w:marLeft w:val="0"/>
      <w:marRight w:val="0"/>
      <w:marTop w:val="0"/>
      <w:marBottom w:val="0"/>
      <w:divBdr>
        <w:top w:val="none" w:sz="0" w:space="0" w:color="auto"/>
        <w:left w:val="none" w:sz="0" w:space="0" w:color="auto"/>
        <w:bottom w:val="none" w:sz="0" w:space="0" w:color="auto"/>
        <w:right w:val="none" w:sz="0" w:space="0" w:color="auto"/>
      </w:divBdr>
    </w:div>
    <w:div w:id="1626345948">
      <w:bodyDiv w:val="1"/>
      <w:marLeft w:val="0"/>
      <w:marRight w:val="0"/>
      <w:marTop w:val="0"/>
      <w:marBottom w:val="0"/>
      <w:divBdr>
        <w:top w:val="none" w:sz="0" w:space="0" w:color="auto"/>
        <w:left w:val="none" w:sz="0" w:space="0" w:color="auto"/>
        <w:bottom w:val="none" w:sz="0" w:space="0" w:color="auto"/>
        <w:right w:val="none" w:sz="0" w:space="0" w:color="auto"/>
      </w:divBdr>
    </w:div>
    <w:div w:id="1742101724">
      <w:bodyDiv w:val="1"/>
      <w:marLeft w:val="0"/>
      <w:marRight w:val="0"/>
      <w:marTop w:val="0"/>
      <w:marBottom w:val="0"/>
      <w:divBdr>
        <w:top w:val="none" w:sz="0" w:space="0" w:color="auto"/>
        <w:left w:val="none" w:sz="0" w:space="0" w:color="auto"/>
        <w:bottom w:val="none" w:sz="0" w:space="0" w:color="auto"/>
        <w:right w:val="none" w:sz="0" w:space="0" w:color="auto"/>
      </w:divBdr>
    </w:div>
    <w:div w:id="1764960099">
      <w:bodyDiv w:val="1"/>
      <w:marLeft w:val="0"/>
      <w:marRight w:val="0"/>
      <w:marTop w:val="0"/>
      <w:marBottom w:val="0"/>
      <w:divBdr>
        <w:top w:val="none" w:sz="0" w:space="0" w:color="auto"/>
        <w:left w:val="none" w:sz="0" w:space="0" w:color="auto"/>
        <w:bottom w:val="none" w:sz="0" w:space="0" w:color="auto"/>
        <w:right w:val="none" w:sz="0" w:space="0" w:color="auto"/>
      </w:divBdr>
    </w:div>
    <w:div w:id="1783374435">
      <w:bodyDiv w:val="1"/>
      <w:marLeft w:val="0"/>
      <w:marRight w:val="0"/>
      <w:marTop w:val="0"/>
      <w:marBottom w:val="0"/>
      <w:divBdr>
        <w:top w:val="none" w:sz="0" w:space="0" w:color="auto"/>
        <w:left w:val="none" w:sz="0" w:space="0" w:color="auto"/>
        <w:bottom w:val="none" w:sz="0" w:space="0" w:color="auto"/>
        <w:right w:val="none" w:sz="0" w:space="0" w:color="auto"/>
      </w:divBdr>
    </w:div>
    <w:div w:id="1821801620">
      <w:bodyDiv w:val="1"/>
      <w:marLeft w:val="0"/>
      <w:marRight w:val="0"/>
      <w:marTop w:val="0"/>
      <w:marBottom w:val="0"/>
      <w:divBdr>
        <w:top w:val="none" w:sz="0" w:space="0" w:color="auto"/>
        <w:left w:val="none" w:sz="0" w:space="0" w:color="auto"/>
        <w:bottom w:val="none" w:sz="0" w:space="0" w:color="auto"/>
        <w:right w:val="none" w:sz="0" w:space="0" w:color="auto"/>
      </w:divBdr>
    </w:div>
    <w:div w:id="1831941287">
      <w:bodyDiv w:val="1"/>
      <w:marLeft w:val="0"/>
      <w:marRight w:val="0"/>
      <w:marTop w:val="0"/>
      <w:marBottom w:val="0"/>
      <w:divBdr>
        <w:top w:val="none" w:sz="0" w:space="0" w:color="auto"/>
        <w:left w:val="none" w:sz="0" w:space="0" w:color="auto"/>
        <w:bottom w:val="none" w:sz="0" w:space="0" w:color="auto"/>
        <w:right w:val="none" w:sz="0" w:space="0" w:color="auto"/>
      </w:divBdr>
    </w:div>
    <w:div w:id="1853376619">
      <w:bodyDiv w:val="1"/>
      <w:marLeft w:val="0"/>
      <w:marRight w:val="0"/>
      <w:marTop w:val="0"/>
      <w:marBottom w:val="0"/>
      <w:divBdr>
        <w:top w:val="none" w:sz="0" w:space="0" w:color="auto"/>
        <w:left w:val="none" w:sz="0" w:space="0" w:color="auto"/>
        <w:bottom w:val="none" w:sz="0" w:space="0" w:color="auto"/>
        <w:right w:val="none" w:sz="0" w:space="0" w:color="auto"/>
      </w:divBdr>
    </w:div>
    <w:div w:id="1853911315">
      <w:bodyDiv w:val="1"/>
      <w:marLeft w:val="0"/>
      <w:marRight w:val="0"/>
      <w:marTop w:val="0"/>
      <w:marBottom w:val="0"/>
      <w:divBdr>
        <w:top w:val="none" w:sz="0" w:space="0" w:color="auto"/>
        <w:left w:val="none" w:sz="0" w:space="0" w:color="auto"/>
        <w:bottom w:val="none" w:sz="0" w:space="0" w:color="auto"/>
        <w:right w:val="none" w:sz="0" w:space="0" w:color="auto"/>
      </w:divBdr>
    </w:div>
    <w:div w:id="1878736603">
      <w:bodyDiv w:val="1"/>
      <w:marLeft w:val="0"/>
      <w:marRight w:val="0"/>
      <w:marTop w:val="0"/>
      <w:marBottom w:val="0"/>
      <w:divBdr>
        <w:top w:val="none" w:sz="0" w:space="0" w:color="auto"/>
        <w:left w:val="none" w:sz="0" w:space="0" w:color="auto"/>
        <w:bottom w:val="none" w:sz="0" w:space="0" w:color="auto"/>
        <w:right w:val="none" w:sz="0" w:space="0" w:color="auto"/>
      </w:divBdr>
    </w:div>
    <w:div w:id="1904368136">
      <w:bodyDiv w:val="1"/>
      <w:marLeft w:val="0"/>
      <w:marRight w:val="0"/>
      <w:marTop w:val="0"/>
      <w:marBottom w:val="0"/>
      <w:divBdr>
        <w:top w:val="none" w:sz="0" w:space="0" w:color="auto"/>
        <w:left w:val="none" w:sz="0" w:space="0" w:color="auto"/>
        <w:bottom w:val="none" w:sz="0" w:space="0" w:color="auto"/>
        <w:right w:val="none" w:sz="0" w:space="0" w:color="auto"/>
      </w:divBdr>
    </w:div>
    <w:div w:id="1984580417">
      <w:bodyDiv w:val="1"/>
      <w:marLeft w:val="0"/>
      <w:marRight w:val="0"/>
      <w:marTop w:val="0"/>
      <w:marBottom w:val="0"/>
      <w:divBdr>
        <w:top w:val="none" w:sz="0" w:space="0" w:color="auto"/>
        <w:left w:val="none" w:sz="0" w:space="0" w:color="auto"/>
        <w:bottom w:val="none" w:sz="0" w:space="0" w:color="auto"/>
        <w:right w:val="none" w:sz="0" w:space="0" w:color="auto"/>
      </w:divBdr>
    </w:div>
    <w:div w:id="2021929418">
      <w:bodyDiv w:val="1"/>
      <w:marLeft w:val="0"/>
      <w:marRight w:val="0"/>
      <w:marTop w:val="0"/>
      <w:marBottom w:val="0"/>
      <w:divBdr>
        <w:top w:val="none" w:sz="0" w:space="0" w:color="auto"/>
        <w:left w:val="none" w:sz="0" w:space="0" w:color="auto"/>
        <w:bottom w:val="none" w:sz="0" w:space="0" w:color="auto"/>
        <w:right w:val="none" w:sz="0" w:space="0" w:color="auto"/>
      </w:divBdr>
    </w:div>
    <w:div w:id="2065635956">
      <w:bodyDiv w:val="1"/>
      <w:marLeft w:val="0"/>
      <w:marRight w:val="0"/>
      <w:marTop w:val="0"/>
      <w:marBottom w:val="0"/>
      <w:divBdr>
        <w:top w:val="none" w:sz="0" w:space="0" w:color="auto"/>
        <w:left w:val="none" w:sz="0" w:space="0" w:color="auto"/>
        <w:bottom w:val="none" w:sz="0" w:space="0" w:color="auto"/>
        <w:right w:val="none" w:sz="0" w:space="0" w:color="auto"/>
      </w:divBdr>
    </w:div>
    <w:div w:id="2065831873">
      <w:bodyDiv w:val="1"/>
      <w:marLeft w:val="0"/>
      <w:marRight w:val="0"/>
      <w:marTop w:val="0"/>
      <w:marBottom w:val="0"/>
      <w:divBdr>
        <w:top w:val="none" w:sz="0" w:space="0" w:color="auto"/>
        <w:left w:val="none" w:sz="0" w:space="0" w:color="auto"/>
        <w:bottom w:val="none" w:sz="0" w:space="0" w:color="auto"/>
        <w:right w:val="none" w:sz="0" w:space="0" w:color="auto"/>
      </w:divBdr>
    </w:div>
    <w:div w:id="2074767731">
      <w:bodyDiv w:val="1"/>
      <w:marLeft w:val="0"/>
      <w:marRight w:val="0"/>
      <w:marTop w:val="0"/>
      <w:marBottom w:val="0"/>
      <w:divBdr>
        <w:top w:val="none" w:sz="0" w:space="0" w:color="auto"/>
        <w:left w:val="none" w:sz="0" w:space="0" w:color="auto"/>
        <w:bottom w:val="none" w:sz="0" w:space="0" w:color="auto"/>
        <w:right w:val="none" w:sz="0" w:space="0" w:color="auto"/>
      </w:divBdr>
    </w:div>
    <w:div w:id="2081098366">
      <w:bodyDiv w:val="1"/>
      <w:marLeft w:val="0"/>
      <w:marRight w:val="0"/>
      <w:marTop w:val="0"/>
      <w:marBottom w:val="0"/>
      <w:divBdr>
        <w:top w:val="none" w:sz="0" w:space="0" w:color="auto"/>
        <w:left w:val="none" w:sz="0" w:space="0" w:color="auto"/>
        <w:bottom w:val="none" w:sz="0" w:space="0" w:color="auto"/>
        <w:right w:val="none" w:sz="0" w:space="0" w:color="auto"/>
      </w:divBdr>
    </w:div>
    <w:div w:id="2084906278">
      <w:bodyDiv w:val="1"/>
      <w:marLeft w:val="0"/>
      <w:marRight w:val="0"/>
      <w:marTop w:val="0"/>
      <w:marBottom w:val="0"/>
      <w:divBdr>
        <w:top w:val="none" w:sz="0" w:space="0" w:color="auto"/>
        <w:left w:val="none" w:sz="0" w:space="0" w:color="auto"/>
        <w:bottom w:val="none" w:sz="0" w:space="0" w:color="auto"/>
        <w:right w:val="none" w:sz="0" w:space="0" w:color="auto"/>
      </w:divBdr>
    </w:div>
    <w:div w:id="211212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90A74-8977-4A39-A4B4-2710FEA4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3670</Words>
  <Characters>20922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HuongNguyen</dc:creator>
  <cp:lastModifiedBy>Le Thi Trang Dung (CSTT)</cp:lastModifiedBy>
  <cp:revision>4</cp:revision>
  <cp:lastPrinted>2026-03-17T06:30:00Z</cp:lastPrinted>
  <dcterms:created xsi:type="dcterms:W3CDTF">2026-03-27T03:11:00Z</dcterms:created>
  <dcterms:modified xsi:type="dcterms:W3CDTF">2026-03-27T07:00:00Z</dcterms:modified>
</cp:coreProperties>
</file>